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auto"/>
          <w:sz w:val="32"/>
          <w:szCs w:val="32"/>
          <w:lang w:bidi="ar"/>
        </w:rPr>
      </w:pPr>
      <w:r>
        <w:rPr>
          <w:rFonts w:hint="eastAsia" w:ascii="黑体" w:hAnsi="黑体" w:eastAsia="黑体" w:cs="宋体"/>
          <w:color w:val="auto"/>
          <w:sz w:val="32"/>
          <w:szCs w:val="32"/>
          <w:lang w:bidi="ar"/>
        </w:rPr>
        <w:t>附件7：</w:t>
      </w: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华文中宋" w:hAnsi="华文中宋" w:eastAsia="华文中宋" w:cs="宋体"/>
          <w:b/>
          <w:color w:val="auto"/>
          <w:kern w:val="0"/>
          <w:sz w:val="52"/>
          <w:szCs w:val="52"/>
        </w:rPr>
      </w:pPr>
    </w:p>
    <w:p>
      <w:pPr>
        <w:spacing w:line="540" w:lineRule="exact"/>
        <w:rPr>
          <w:rFonts w:ascii="华文中宋" w:hAnsi="华文中宋" w:eastAsia="华文中宋" w:cs="宋体"/>
          <w:b/>
          <w:color w:val="auto"/>
          <w:kern w:val="0"/>
          <w:sz w:val="52"/>
          <w:szCs w:val="52"/>
        </w:rPr>
      </w:pPr>
    </w:p>
    <w:p>
      <w:pPr>
        <w:spacing w:line="540" w:lineRule="exact"/>
        <w:rPr>
          <w:rFonts w:ascii="华文中宋" w:hAnsi="华文中宋" w:eastAsia="华文中宋" w:cs="宋体"/>
          <w:b/>
          <w:color w:val="auto"/>
          <w:kern w:val="0"/>
          <w:sz w:val="52"/>
          <w:szCs w:val="52"/>
        </w:rPr>
      </w:pP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方正小标宋_GBK" w:hAnsi="华文中宋" w:eastAsia="方正小标宋_GBK" w:cs="宋体"/>
          <w:b/>
          <w:color w:val="auto"/>
          <w:kern w:val="0"/>
          <w:sz w:val="48"/>
          <w:szCs w:val="48"/>
        </w:rPr>
      </w:pPr>
      <w:bookmarkStart w:id="0" w:name="_Hlk70355250"/>
      <w:r>
        <w:rPr>
          <w:rFonts w:hint="eastAsia" w:ascii="方正小标宋_GBK" w:hAnsi="华文中宋" w:eastAsia="方正小标宋_GBK" w:cs="宋体"/>
          <w:b/>
          <w:color w:val="auto"/>
          <w:kern w:val="0"/>
          <w:sz w:val="48"/>
          <w:szCs w:val="48"/>
        </w:rPr>
        <w:t>伊犁州</w:t>
      </w:r>
      <w:r>
        <w:rPr>
          <w:rFonts w:hint="eastAsia" w:ascii="方正小标宋_GBK" w:hAnsi="华文中宋" w:eastAsia="方正小标宋_GBK" w:cs="宋体"/>
          <w:b/>
          <w:color w:val="auto"/>
          <w:kern w:val="0"/>
          <w:sz w:val="48"/>
          <w:szCs w:val="48"/>
          <w:lang w:val="en-US" w:eastAsia="zh-CN"/>
        </w:rPr>
        <w:t>特克斯县齐勒乌泽克镇卫生院</w:t>
      </w:r>
      <w:r>
        <w:rPr>
          <w:rFonts w:hint="eastAsia" w:ascii="方正小标宋_GBK" w:hAnsi="华文中宋" w:eastAsia="方正小标宋_GBK" w:cs="宋体"/>
          <w:b/>
          <w:color w:val="auto"/>
          <w:kern w:val="0"/>
          <w:sz w:val="48"/>
          <w:szCs w:val="48"/>
        </w:rPr>
        <w:t>部门单位整体支出绩效自评报告</w:t>
      </w:r>
    </w:p>
    <w:bookmarkEnd w:id="0"/>
    <w:p>
      <w:pPr>
        <w:spacing w:line="540" w:lineRule="exact"/>
        <w:jc w:val="center"/>
        <w:rPr>
          <w:rFonts w:ascii="华文中宋" w:hAnsi="华文中宋" w:eastAsia="华文中宋" w:cs="宋体"/>
          <w:b/>
          <w:color w:val="auto"/>
          <w:kern w:val="0"/>
          <w:sz w:val="52"/>
          <w:szCs w:val="52"/>
        </w:rPr>
      </w:pPr>
    </w:p>
    <w:p>
      <w:pPr>
        <w:spacing w:line="540" w:lineRule="exact"/>
        <w:jc w:val="center"/>
        <w:rPr>
          <w:rFonts w:hAnsi="宋体" w:eastAsia="仿宋_GB2312" w:cs="宋体"/>
          <w:color w:val="auto"/>
          <w:kern w:val="0"/>
          <w:sz w:val="36"/>
          <w:szCs w:val="36"/>
        </w:rPr>
      </w:pPr>
      <w:r>
        <w:rPr>
          <w:rFonts w:hint="eastAsia" w:hAnsi="宋体" w:eastAsia="仿宋_GB2312" w:cs="宋体"/>
          <w:color w:val="auto"/>
          <w:kern w:val="0"/>
          <w:sz w:val="36"/>
          <w:szCs w:val="36"/>
        </w:rPr>
        <w:t>（</w:t>
      </w:r>
      <w:r>
        <w:rPr>
          <w:rFonts w:hAnsi="宋体" w:eastAsia="仿宋_GB2312" w:cs="宋体"/>
          <w:color w:val="auto"/>
          <w:kern w:val="0"/>
          <w:sz w:val="36"/>
          <w:szCs w:val="36"/>
        </w:rPr>
        <w:t>2021</w:t>
      </w:r>
      <w:r>
        <w:rPr>
          <w:rFonts w:hint="eastAsia" w:hAnsi="宋体" w:eastAsia="仿宋_GB2312" w:cs="宋体"/>
          <w:color w:val="auto"/>
          <w:kern w:val="0"/>
          <w:sz w:val="36"/>
          <w:szCs w:val="36"/>
        </w:rPr>
        <w:t>年度）</w:t>
      </w:r>
    </w:p>
    <w:p>
      <w:pPr>
        <w:spacing w:line="540" w:lineRule="exact"/>
        <w:jc w:val="center"/>
        <w:rPr>
          <w:rFonts w:hAnsi="宋体" w:eastAsia="仿宋_GB2312" w:cs="宋体"/>
          <w:color w:val="auto"/>
          <w:kern w:val="0"/>
          <w:sz w:val="30"/>
          <w:szCs w:val="30"/>
        </w:rPr>
      </w:pPr>
    </w:p>
    <w:p>
      <w:pPr>
        <w:spacing w:line="540" w:lineRule="exact"/>
        <w:jc w:val="center"/>
        <w:rPr>
          <w:rFonts w:hAnsi="宋体" w:eastAsia="仿宋_GB2312" w:cs="宋体"/>
          <w:color w:val="auto"/>
          <w:kern w:val="0"/>
          <w:sz w:val="30"/>
          <w:szCs w:val="30"/>
        </w:rPr>
      </w:pPr>
    </w:p>
    <w:p>
      <w:pPr>
        <w:spacing w:line="540" w:lineRule="exact"/>
        <w:jc w:val="center"/>
        <w:rPr>
          <w:rFonts w:hAnsi="宋体" w:eastAsia="仿宋_GB2312" w:cs="宋体"/>
          <w:color w:val="auto"/>
          <w:kern w:val="0"/>
          <w:sz w:val="30"/>
          <w:szCs w:val="30"/>
        </w:rPr>
      </w:pPr>
    </w:p>
    <w:p>
      <w:pPr>
        <w:spacing w:line="540" w:lineRule="exact"/>
        <w:jc w:val="center"/>
        <w:rPr>
          <w:rFonts w:hAnsi="宋体" w:eastAsia="仿宋_GB2312" w:cs="宋体"/>
          <w:color w:val="auto"/>
          <w:kern w:val="0"/>
          <w:sz w:val="30"/>
          <w:szCs w:val="30"/>
        </w:rPr>
      </w:pPr>
    </w:p>
    <w:p>
      <w:pPr>
        <w:spacing w:line="540" w:lineRule="exact"/>
        <w:jc w:val="center"/>
        <w:rPr>
          <w:rFonts w:hAnsi="宋体" w:eastAsia="仿宋_GB2312" w:cs="宋体"/>
          <w:color w:val="auto"/>
          <w:kern w:val="0"/>
          <w:sz w:val="30"/>
          <w:szCs w:val="30"/>
        </w:rPr>
      </w:pPr>
    </w:p>
    <w:p>
      <w:pPr>
        <w:spacing w:line="540" w:lineRule="exact"/>
        <w:rPr>
          <w:rFonts w:hAnsi="宋体" w:eastAsia="仿宋_GB2312" w:cs="宋体"/>
          <w:color w:val="auto"/>
          <w:kern w:val="0"/>
          <w:sz w:val="30"/>
          <w:szCs w:val="30"/>
        </w:rPr>
      </w:pPr>
    </w:p>
    <w:p>
      <w:pPr>
        <w:spacing w:line="700" w:lineRule="exact"/>
        <w:ind w:firstLine="849" w:firstLineChars="236"/>
        <w:jc w:val="left"/>
        <w:rPr>
          <w:rFonts w:hint="eastAsia" w:hAnsi="宋体" w:eastAsia="仿宋_GB2312" w:cs="宋体"/>
          <w:color w:val="auto"/>
          <w:kern w:val="0"/>
          <w:sz w:val="36"/>
          <w:szCs w:val="36"/>
        </w:rPr>
      </w:pPr>
      <w:r>
        <w:rPr>
          <w:rFonts w:hint="eastAsia" w:hAnsi="宋体" w:eastAsia="仿宋_GB2312" w:cs="宋体"/>
          <w:color w:val="auto"/>
          <w:kern w:val="0"/>
          <w:sz w:val="36"/>
          <w:szCs w:val="36"/>
        </w:rPr>
        <w:t xml:space="preserve">  </w:t>
      </w:r>
    </w:p>
    <w:p>
      <w:pPr>
        <w:spacing w:line="700" w:lineRule="exact"/>
        <w:jc w:val="left"/>
        <w:rPr>
          <w:rFonts w:hint="default" w:hAnsi="宋体" w:eastAsia="仿宋_GB2312" w:cs="宋体"/>
          <w:color w:val="auto"/>
          <w:kern w:val="0"/>
          <w:sz w:val="36"/>
          <w:szCs w:val="36"/>
          <w:lang w:val="en-US"/>
        </w:rPr>
      </w:pPr>
      <w:r>
        <w:rPr>
          <w:rFonts w:hint="eastAsia" w:hAnsi="宋体" w:eastAsia="仿宋_GB2312" w:cs="宋体"/>
          <w:color w:val="auto"/>
          <w:kern w:val="0"/>
          <w:sz w:val="36"/>
          <w:szCs w:val="36"/>
        </w:rPr>
        <w:t>部门单位名称（公章）：</w:t>
      </w:r>
      <w:r>
        <w:rPr>
          <w:rFonts w:hint="eastAsia" w:hAnsi="宋体" w:eastAsia="仿宋_GB2312" w:cs="宋体"/>
          <w:color w:val="auto"/>
          <w:kern w:val="0"/>
          <w:sz w:val="36"/>
          <w:szCs w:val="36"/>
          <w:lang w:val="en-US" w:eastAsia="zh-CN"/>
        </w:rPr>
        <w:t>特克斯县齐勒乌泽克镇卫生院</w:t>
      </w:r>
    </w:p>
    <w:p>
      <w:pPr>
        <w:spacing w:line="700" w:lineRule="exact"/>
        <w:jc w:val="left"/>
        <w:rPr>
          <w:rFonts w:hAnsi="宋体" w:eastAsia="仿宋_GB2312" w:cs="宋体"/>
          <w:color w:val="auto"/>
          <w:kern w:val="0"/>
          <w:sz w:val="36"/>
          <w:szCs w:val="36"/>
        </w:rPr>
      </w:pPr>
      <w:r>
        <w:rPr>
          <w:rFonts w:hint="eastAsia" w:hAnsi="宋体" w:eastAsia="仿宋_GB2312" w:cs="宋体"/>
          <w:color w:val="auto"/>
          <w:kern w:val="0"/>
          <w:sz w:val="36"/>
          <w:szCs w:val="36"/>
        </w:rPr>
        <w:t>填报时间：</w:t>
      </w:r>
      <w:r>
        <w:rPr>
          <w:rFonts w:hAnsi="宋体" w:eastAsia="仿宋_GB2312" w:cs="宋体"/>
          <w:color w:val="auto"/>
          <w:kern w:val="0"/>
          <w:sz w:val="36"/>
          <w:szCs w:val="36"/>
        </w:rPr>
        <w:t>2022</w:t>
      </w:r>
      <w:r>
        <w:rPr>
          <w:rFonts w:hint="eastAsia" w:hAnsi="宋体" w:eastAsia="仿宋_GB2312" w:cs="宋体"/>
          <w:color w:val="auto"/>
          <w:kern w:val="0"/>
          <w:sz w:val="36"/>
          <w:szCs w:val="36"/>
        </w:rPr>
        <w:t xml:space="preserve"> 年 </w:t>
      </w:r>
      <w:r>
        <w:rPr>
          <w:rFonts w:hint="eastAsia" w:hAnsi="宋体" w:eastAsia="仿宋_GB2312" w:cs="宋体"/>
          <w:color w:val="auto"/>
          <w:kern w:val="0"/>
          <w:sz w:val="36"/>
          <w:szCs w:val="36"/>
          <w:lang w:val="en-US" w:eastAsia="zh-CN"/>
        </w:rPr>
        <w:t>4</w:t>
      </w:r>
      <w:r>
        <w:rPr>
          <w:rFonts w:hint="eastAsia" w:hAnsi="宋体" w:eastAsia="仿宋_GB2312" w:cs="宋体"/>
          <w:color w:val="auto"/>
          <w:kern w:val="0"/>
          <w:sz w:val="36"/>
          <w:szCs w:val="36"/>
        </w:rPr>
        <w:t xml:space="preserve"> 月</w:t>
      </w:r>
      <w:r>
        <w:rPr>
          <w:rFonts w:hint="eastAsia" w:hAnsi="宋体" w:eastAsia="仿宋_GB2312" w:cs="宋体"/>
          <w:color w:val="auto"/>
          <w:kern w:val="0"/>
          <w:sz w:val="36"/>
          <w:szCs w:val="36"/>
          <w:lang w:val="en-US" w:eastAsia="zh-CN"/>
        </w:rPr>
        <w:t>25</w:t>
      </w:r>
      <w:r>
        <w:rPr>
          <w:rFonts w:hint="eastAsia" w:hAnsi="宋体" w:eastAsia="仿宋_GB2312" w:cs="宋体"/>
          <w:color w:val="auto"/>
          <w:kern w:val="0"/>
          <w:sz w:val="36"/>
          <w:szCs w:val="36"/>
        </w:rPr>
        <w:t>日</w:t>
      </w:r>
    </w:p>
    <w:p>
      <w:pPr>
        <w:pStyle w:val="3"/>
        <w:spacing w:line="360" w:lineRule="auto"/>
        <w:rPr>
          <w:rFonts w:ascii="仿宋" w:hAnsi="仿宋" w:eastAsia="仿宋"/>
          <w:color w:val="auto"/>
          <w:sz w:val="36"/>
          <w:szCs w:val="36"/>
          <w:lang w:bidi="ar"/>
        </w:rPr>
      </w:pPr>
      <w:bookmarkStart w:id="1" w:name="_Toc70450289"/>
      <w:r>
        <w:rPr>
          <w:rFonts w:hint="eastAsia" w:ascii="仿宋" w:hAnsi="仿宋" w:eastAsia="仿宋"/>
          <w:color w:val="auto"/>
          <w:sz w:val="36"/>
          <w:szCs w:val="36"/>
          <w:lang w:bidi="ar"/>
        </w:rPr>
        <w:t>一、基本概况</w:t>
      </w:r>
      <w:bookmarkEnd w:id="1"/>
    </w:p>
    <w:p>
      <w:pPr>
        <w:pStyle w:val="4"/>
        <w:spacing w:line="360" w:lineRule="auto"/>
        <w:rPr>
          <w:rStyle w:val="16"/>
          <w:rFonts w:ascii="仿宋" w:hAnsi="仿宋" w:eastAsia="仿宋"/>
          <w:b/>
          <w:bCs/>
          <w:color w:val="auto"/>
        </w:rPr>
      </w:pPr>
      <w:bookmarkStart w:id="2" w:name="_Toc70450290"/>
      <w:r>
        <w:rPr>
          <w:rStyle w:val="16"/>
          <w:rFonts w:hint="eastAsia" w:ascii="仿宋" w:hAnsi="仿宋" w:eastAsia="仿宋"/>
          <w:b/>
          <w:bCs/>
          <w:color w:val="auto"/>
        </w:rPr>
        <w:t>（一）部门单位基本情况</w:t>
      </w:r>
      <w:bookmarkEnd w:id="2"/>
    </w:p>
    <w:p>
      <w:pPr>
        <w:pStyle w:val="5"/>
        <w:spacing w:line="360" w:lineRule="auto"/>
        <w:ind w:firstLine="562" w:firstLineChars="200"/>
        <w:rPr>
          <w:rStyle w:val="16"/>
          <w:rFonts w:ascii="仿宋" w:hAnsi="仿宋" w:eastAsia="仿宋"/>
          <w:b/>
          <w:bCs/>
          <w:color w:val="auto"/>
        </w:rPr>
      </w:pPr>
      <w:bookmarkStart w:id="3" w:name="_Toc70450291"/>
      <w:r>
        <w:rPr>
          <w:rStyle w:val="16"/>
          <w:rFonts w:ascii="仿宋" w:hAnsi="仿宋" w:eastAsia="仿宋"/>
          <w:b/>
          <w:bCs/>
          <w:color w:val="auto"/>
        </w:rPr>
        <w:t>1</w:t>
      </w:r>
      <w:r>
        <w:rPr>
          <w:rStyle w:val="16"/>
          <w:rFonts w:hint="eastAsia" w:ascii="仿宋" w:hAnsi="仿宋" w:eastAsia="仿宋"/>
          <w:b/>
          <w:bCs/>
          <w:color w:val="auto"/>
        </w:rPr>
        <w:t>、主要职能</w:t>
      </w:r>
      <w:bookmarkEnd w:id="3"/>
    </w:p>
    <w:p>
      <w:pPr>
        <w:spacing w:line="360" w:lineRule="auto"/>
        <w:ind w:firstLine="544" w:firstLineChars="200"/>
        <w:rPr>
          <w:rStyle w:val="16"/>
          <w:rFonts w:hint="eastAsia" w:ascii="仿宋_GB2312" w:hAnsi="楷体" w:eastAsia="仿宋_GB2312" w:cs="Times New Roman"/>
          <w:b w:val="0"/>
          <w:color w:val="auto"/>
          <w:spacing w:val="-4"/>
          <w:sz w:val="28"/>
          <w:szCs w:val="28"/>
        </w:rPr>
      </w:pPr>
      <w:r>
        <w:rPr>
          <w:rStyle w:val="16"/>
          <w:rFonts w:hint="eastAsia" w:ascii="仿宋_GB2312" w:hAnsi="楷体" w:eastAsia="仿宋_GB2312" w:cs="Times New Roman"/>
          <w:b w:val="0"/>
          <w:color w:val="auto"/>
          <w:spacing w:val="-4"/>
          <w:sz w:val="28"/>
          <w:szCs w:val="28"/>
        </w:rPr>
        <w:t>1.为人民健康医疗与预防保健服务，常见病多发病的治疗和护理；</w:t>
      </w:r>
    </w:p>
    <w:p>
      <w:pPr>
        <w:spacing w:line="360" w:lineRule="auto"/>
        <w:ind w:firstLine="544" w:firstLineChars="200"/>
        <w:rPr>
          <w:rStyle w:val="16"/>
          <w:rFonts w:hint="eastAsia" w:ascii="仿宋_GB2312" w:hAnsi="楷体" w:eastAsia="仿宋_GB2312" w:cs="Times New Roman"/>
          <w:b w:val="0"/>
          <w:color w:val="auto"/>
          <w:spacing w:val="-4"/>
          <w:sz w:val="28"/>
          <w:szCs w:val="28"/>
        </w:rPr>
      </w:pPr>
      <w:r>
        <w:rPr>
          <w:rStyle w:val="16"/>
          <w:rFonts w:hint="eastAsia" w:ascii="仿宋_GB2312" w:hAnsi="楷体" w:eastAsia="仿宋_GB2312" w:cs="Times New Roman"/>
          <w:b w:val="0"/>
          <w:color w:val="auto"/>
          <w:spacing w:val="-4"/>
          <w:sz w:val="28"/>
          <w:szCs w:val="28"/>
        </w:rPr>
        <w:t>2.预防保健；卫生人员技术培训；</w:t>
      </w:r>
    </w:p>
    <w:p>
      <w:pPr>
        <w:spacing w:line="360" w:lineRule="auto"/>
        <w:ind w:firstLine="544" w:firstLineChars="200"/>
        <w:rPr>
          <w:rStyle w:val="16"/>
          <w:rFonts w:hint="eastAsia" w:ascii="仿宋_GB2312" w:hAnsi="楷体" w:eastAsia="仿宋_GB2312" w:cs="Times New Roman"/>
          <w:b w:val="0"/>
          <w:color w:val="auto"/>
          <w:spacing w:val="-4"/>
          <w:sz w:val="28"/>
          <w:szCs w:val="28"/>
        </w:rPr>
      </w:pPr>
      <w:r>
        <w:rPr>
          <w:rStyle w:val="16"/>
          <w:rFonts w:hint="eastAsia" w:ascii="仿宋_GB2312" w:hAnsi="楷体" w:eastAsia="仿宋_GB2312" w:cs="Times New Roman"/>
          <w:b w:val="0"/>
          <w:color w:val="auto"/>
          <w:spacing w:val="-4"/>
          <w:sz w:val="28"/>
          <w:szCs w:val="28"/>
        </w:rPr>
        <w:t>3.职能表现形式有疾病控制防疫、妇幼儿童保健、门诊住院医疗、急诊抢救、防病治病等救死扶伤等。</w:t>
      </w:r>
      <w:bookmarkStart w:id="4" w:name="_Toc70450292"/>
    </w:p>
    <w:p>
      <w:pPr>
        <w:pStyle w:val="5"/>
        <w:spacing w:line="360" w:lineRule="auto"/>
        <w:ind w:firstLine="562" w:firstLineChars="200"/>
        <w:rPr>
          <w:rStyle w:val="16"/>
          <w:rFonts w:hint="eastAsia" w:ascii="仿宋" w:hAnsi="仿宋" w:eastAsia="仿宋"/>
          <w:b/>
          <w:bCs/>
          <w:color w:val="auto"/>
          <w:sz w:val="28"/>
          <w:szCs w:val="28"/>
          <w:lang w:val="en-US" w:eastAsia="zh-CN"/>
        </w:rPr>
      </w:pPr>
      <w:r>
        <w:rPr>
          <w:rStyle w:val="16"/>
          <w:rFonts w:hint="eastAsia" w:ascii="仿宋" w:hAnsi="仿宋" w:eastAsia="仿宋"/>
          <w:b/>
          <w:bCs/>
          <w:color w:val="auto"/>
          <w:sz w:val="28"/>
          <w:szCs w:val="28"/>
          <w:lang w:val="en-US" w:eastAsia="zh-CN"/>
        </w:rPr>
        <w:t>2、机构人员构成</w:t>
      </w:r>
      <w:bookmarkEnd w:id="4"/>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（1）组织机构设置：</w:t>
      </w:r>
    </w:p>
    <w:p>
      <w:pPr>
        <w:spacing w:line="360" w:lineRule="auto"/>
        <w:ind w:firstLine="544" w:firstLineChars="200"/>
        <w:rPr>
          <w:rStyle w:val="16"/>
          <w:rFonts w:hint="eastAsia" w:ascii="仿宋_GB2312" w:hAnsi="楷体" w:eastAsia="仿宋_GB2312" w:cs="Times New Roman"/>
          <w:b w:val="0"/>
          <w:color w:val="auto"/>
          <w:spacing w:val="-4"/>
          <w:sz w:val="28"/>
          <w:szCs w:val="28"/>
          <w:lang w:val="en-US" w:eastAsia="zh-CN"/>
        </w:rPr>
      </w:pPr>
      <w:r>
        <w:rPr>
          <w:rStyle w:val="16"/>
          <w:rFonts w:hint="eastAsia" w:ascii="仿宋_GB2312" w:hAnsi="楷体" w:eastAsia="仿宋_GB2312" w:cs="Times New Roman"/>
          <w:b w:val="0"/>
          <w:color w:val="auto"/>
          <w:spacing w:val="-4"/>
          <w:sz w:val="28"/>
          <w:szCs w:val="28"/>
          <w:lang w:val="en-US" w:eastAsia="zh-CN"/>
        </w:rPr>
        <w:t>特克斯县齐勒乌泽克镇卫生院无下属预算单位，下设 6 个科室，分别是：内科、外科、妇产科、药房、公卫科、体检科。</w:t>
      </w:r>
    </w:p>
    <w:p>
      <w:pPr>
        <w:spacing w:line="360" w:lineRule="auto"/>
        <w:ind w:firstLine="544" w:firstLineChars="200"/>
        <w:rPr>
          <w:rStyle w:val="16"/>
          <w:rFonts w:hint="eastAsia" w:ascii="仿宋_GB2312" w:hAnsi="楷体" w:eastAsia="仿宋_GB2312" w:cs="Times New Roman"/>
          <w:b w:val="0"/>
          <w:color w:val="auto"/>
          <w:spacing w:val="-4"/>
          <w:sz w:val="28"/>
          <w:szCs w:val="28"/>
          <w:lang w:val="en-US" w:eastAsia="zh-CN"/>
        </w:rPr>
      </w:pPr>
      <w:r>
        <w:rPr>
          <w:rStyle w:val="16"/>
          <w:rFonts w:hint="eastAsia" w:ascii="仿宋_GB2312" w:hAnsi="楷体" w:eastAsia="仿宋_GB2312" w:cs="Times New Roman"/>
          <w:b w:val="0"/>
          <w:color w:val="auto"/>
          <w:spacing w:val="-4"/>
          <w:sz w:val="28"/>
          <w:szCs w:val="28"/>
          <w:lang w:val="en-US" w:eastAsia="zh-CN"/>
        </w:rPr>
        <w:t>（2）特克斯县齐勒乌泽克镇卫生院实有在职人员为34人，其中：</w:t>
      </w:r>
    </w:p>
    <w:p>
      <w:pPr>
        <w:spacing w:line="360" w:lineRule="auto"/>
        <w:ind w:firstLine="544" w:firstLineChars="200"/>
        <w:rPr>
          <w:rStyle w:val="16"/>
          <w:rFonts w:hint="eastAsia" w:ascii="仿宋_GB2312" w:hAnsi="楷体" w:eastAsia="仿宋_GB2312" w:cs="Times New Roman"/>
          <w:b w:val="0"/>
          <w:color w:val="auto"/>
          <w:spacing w:val="-4"/>
          <w:sz w:val="28"/>
          <w:szCs w:val="28"/>
          <w:lang w:val="en-US" w:eastAsia="zh-CN"/>
        </w:rPr>
      </w:pPr>
      <w:r>
        <w:rPr>
          <w:rStyle w:val="16"/>
          <w:rFonts w:hint="eastAsia" w:ascii="仿宋_GB2312" w:hAnsi="楷体" w:eastAsia="仿宋_GB2312" w:cs="Times New Roman"/>
          <w:b w:val="0"/>
          <w:color w:val="auto"/>
          <w:spacing w:val="-4"/>
          <w:sz w:val="28"/>
          <w:szCs w:val="28"/>
          <w:lang w:val="en-US" w:eastAsia="zh-CN"/>
        </w:rPr>
        <w:t>事业在职34人（上年34人），与上年一致;</w:t>
      </w:r>
    </w:p>
    <w:p>
      <w:pPr>
        <w:spacing w:line="360" w:lineRule="auto"/>
        <w:ind w:firstLine="544" w:firstLineChars="200"/>
        <w:rPr>
          <w:rStyle w:val="16"/>
          <w:rFonts w:hint="eastAsia" w:ascii="仿宋_GB2312" w:hAnsi="楷体" w:eastAsia="仿宋_GB2312" w:cs="Times New Roman"/>
          <w:b w:val="0"/>
          <w:color w:val="auto"/>
          <w:spacing w:val="-4"/>
          <w:sz w:val="28"/>
          <w:szCs w:val="28"/>
          <w:lang w:val="en-US" w:eastAsia="zh-CN"/>
        </w:rPr>
      </w:pPr>
      <w:r>
        <w:rPr>
          <w:rStyle w:val="16"/>
          <w:rFonts w:hint="eastAsia" w:ascii="仿宋_GB2312" w:hAnsi="楷体" w:eastAsia="仿宋_GB2312" w:cs="Times New Roman"/>
          <w:b w:val="0"/>
          <w:color w:val="auto"/>
          <w:spacing w:val="-4"/>
          <w:sz w:val="28"/>
          <w:szCs w:val="28"/>
          <w:lang w:val="en-US" w:eastAsia="zh-CN"/>
        </w:rPr>
        <w:t>实有离休人员0人（上年0人）,与上年一致;</w:t>
      </w:r>
    </w:p>
    <w:p>
      <w:pPr>
        <w:spacing w:line="360" w:lineRule="auto"/>
        <w:ind w:firstLine="544" w:firstLineChars="200"/>
        <w:rPr>
          <w:rStyle w:val="16"/>
          <w:rFonts w:hint="eastAsia" w:ascii="仿宋_GB2312" w:hAnsi="楷体" w:eastAsia="仿宋_GB2312" w:cs="Times New Roman"/>
          <w:b w:val="0"/>
          <w:color w:val="auto"/>
          <w:spacing w:val="-4"/>
          <w:sz w:val="28"/>
          <w:szCs w:val="28"/>
          <w:lang w:val="en-US" w:eastAsia="zh-CN"/>
        </w:rPr>
      </w:pPr>
      <w:r>
        <w:rPr>
          <w:rStyle w:val="16"/>
          <w:rFonts w:hint="eastAsia" w:ascii="仿宋_GB2312" w:hAnsi="楷体" w:eastAsia="仿宋_GB2312" w:cs="Times New Roman"/>
          <w:b w:val="0"/>
          <w:color w:val="auto"/>
          <w:spacing w:val="-4"/>
          <w:sz w:val="28"/>
          <w:szCs w:val="28"/>
          <w:lang w:val="en-US" w:eastAsia="zh-CN"/>
        </w:rPr>
        <w:t>实有退休人员7人（上年7人）,与上年一致。</w:t>
      </w:r>
    </w:p>
    <w:p>
      <w:pPr>
        <w:spacing w:line="360" w:lineRule="auto"/>
        <w:ind w:firstLine="544" w:firstLineChars="200"/>
        <w:rPr>
          <w:rStyle w:val="16"/>
          <w:rFonts w:hint="eastAsia" w:ascii="仿宋_GB2312" w:hAnsi="楷体" w:eastAsia="仿宋_GB2312" w:cs="Times New Roman"/>
          <w:b w:val="0"/>
          <w:color w:val="auto"/>
          <w:spacing w:val="-4"/>
          <w:sz w:val="28"/>
          <w:szCs w:val="28"/>
          <w:lang w:val="en-US" w:eastAsia="zh-CN"/>
        </w:rPr>
      </w:pPr>
    </w:p>
    <w:p>
      <w:pPr>
        <w:pStyle w:val="5"/>
        <w:spacing w:line="360" w:lineRule="auto"/>
        <w:ind w:firstLine="562" w:firstLineChars="200"/>
        <w:rPr>
          <w:rStyle w:val="16"/>
          <w:rFonts w:ascii="仿宋" w:hAnsi="仿宋" w:eastAsia="仿宋"/>
          <w:b/>
          <w:bCs/>
          <w:color w:val="auto"/>
        </w:rPr>
      </w:pPr>
      <w:bookmarkStart w:id="5" w:name="_Toc70450293"/>
      <w:r>
        <w:rPr>
          <w:rStyle w:val="16"/>
          <w:rFonts w:ascii="仿宋" w:hAnsi="仿宋" w:eastAsia="仿宋"/>
          <w:b/>
          <w:bCs/>
          <w:color w:val="auto"/>
        </w:rPr>
        <w:t>3</w:t>
      </w:r>
      <w:r>
        <w:rPr>
          <w:rStyle w:val="16"/>
          <w:rFonts w:hint="eastAsia" w:ascii="仿宋" w:hAnsi="仿宋" w:eastAsia="仿宋"/>
          <w:b/>
          <w:bCs/>
          <w:color w:val="auto"/>
        </w:rPr>
        <w:t>、重点工作计划</w:t>
      </w:r>
      <w:bookmarkEnd w:id="5"/>
    </w:p>
    <w:p>
      <w:pPr>
        <w:spacing w:line="360" w:lineRule="auto"/>
        <w:ind w:firstLine="544" w:firstLineChars="200"/>
        <w:rPr>
          <w:rStyle w:val="16"/>
          <w:rFonts w:hint="eastAsia" w:ascii="仿宋_GB2312" w:hAnsi="楷体" w:eastAsia="仿宋_GB2312" w:cs="Times New Roman"/>
          <w:b w:val="0"/>
          <w:color w:val="auto"/>
          <w:spacing w:val="-4"/>
          <w:sz w:val="28"/>
          <w:szCs w:val="28"/>
          <w:lang w:val="en-US" w:eastAsia="zh-CN"/>
        </w:rPr>
      </w:pPr>
      <w:bookmarkStart w:id="6" w:name="_Toc70450294"/>
      <w:r>
        <w:rPr>
          <w:rStyle w:val="16"/>
          <w:rFonts w:hint="eastAsia" w:ascii="仿宋_GB2312" w:hAnsi="楷体" w:eastAsia="仿宋_GB2312" w:cs="Times New Roman"/>
          <w:b w:val="0"/>
          <w:color w:val="auto"/>
          <w:spacing w:val="-4"/>
          <w:sz w:val="28"/>
          <w:szCs w:val="28"/>
          <w:lang w:val="en-US" w:eastAsia="zh-CN"/>
        </w:rPr>
        <w:t>1.加强档案管理、数据汇总；</w:t>
      </w:r>
    </w:p>
    <w:p>
      <w:pPr>
        <w:spacing w:line="360" w:lineRule="auto"/>
        <w:ind w:firstLine="544" w:firstLineChars="200"/>
        <w:rPr>
          <w:rStyle w:val="16"/>
          <w:rFonts w:hint="eastAsia" w:ascii="仿宋_GB2312" w:hAnsi="楷体" w:eastAsia="仿宋_GB2312" w:cs="Times New Roman"/>
          <w:b w:val="0"/>
          <w:color w:val="auto"/>
          <w:spacing w:val="-4"/>
          <w:sz w:val="28"/>
          <w:szCs w:val="28"/>
          <w:lang w:val="en-US" w:eastAsia="zh-CN"/>
        </w:rPr>
      </w:pPr>
      <w:r>
        <w:rPr>
          <w:rStyle w:val="16"/>
          <w:rFonts w:hint="eastAsia" w:ascii="仿宋_GB2312" w:hAnsi="楷体" w:eastAsia="仿宋_GB2312" w:cs="Times New Roman"/>
          <w:b w:val="0"/>
          <w:color w:val="auto"/>
          <w:spacing w:val="-4"/>
          <w:sz w:val="28"/>
          <w:szCs w:val="28"/>
          <w:lang w:val="en-US" w:eastAsia="zh-CN"/>
        </w:rPr>
        <w:t>2.上报认真落实基本公共卫生服务工作，完成上级下达的工作指标；</w:t>
      </w:r>
    </w:p>
    <w:p>
      <w:pPr>
        <w:spacing w:line="360" w:lineRule="auto"/>
        <w:ind w:firstLine="544" w:firstLineChars="200"/>
        <w:rPr>
          <w:rStyle w:val="16"/>
          <w:rFonts w:hint="eastAsia" w:ascii="仿宋_GB2312" w:hAnsi="楷体" w:eastAsia="仿宋_GB2312" w:cs="Times New Roman"/>
          <w:b w:val="0"/>
          <w:color w:val="auto"/>
          <w:spacing w:val="-4"/>
          <w:sz w:val="28"/>
          <w:szCs w:val="28"/>
          <w:lang w:val="en-US" w:eastAsia="zh-CN"/>
        </w:rPr>
      </w:pPr>
      <w:r>
        <w:rPr>
          <w:rStyle w:val="16"/>
          <w:rFonts w:hint="eastAsia" w:ascii="仿宋_GB2312" w:hAnsi="楷体" w:eastAsia="仿宋_GB2312" w:cs="Times New Roman"/>
          <w:b w:val="0"/>
          <w:color w:val="auto"/>
          <w:spacing w:val="-4"/>
          <w:sz w:val="28"/>
          <w:szCs w:val="28"/>
          <w:lang w:val="en-US" w:eastAsia="zh-CN"/>
        </w:rPr>
        <w:t>3.加强预防接种中心的设置建设和运行管理，为适龄儿童提供免费的国家免疫规划疫苗接种服务，及时发现、报告并协助处理疑似预防接种异常反应、做好各类疫苗出入库管理工作。继续做好优质服务基层工作；</w:t>
      </w:r>
    </w:p>
    <w:p>
      <w:pPr>
        <w:spacing w:line="360" w:lineRule="auto"/>
        <w:ind w:firstLine="544" w:firstLineChars="200"/>
        <w:rPr>
          <w:rFonts w:ascii="仿宋_GB2312" w:hAnsi="仿宋_GB2312" w:eastAsia="仿宋_GB2312" w:cs="仿宋_GB2312"/>
          <w:color w:val="auto"/>
          <w:sz w:val="32"/>
          <w:szCs w:val="32"/>
        </w:rPr>
      </w:pPr>
      <w:r>
        <w:rPr>
          <w:rStyle w:val="16"/>
          <w:rFonts w:hint="eastAsia" w:ascii="仿宋_GB2312" w:hAnsi="楷体" w:eastAsia="仿宋_GB2312" w:cs="Times New Roman"/>
          <w:b w:val="0"/>
          <w:color w:val="auto"/>
          <w:spacing w:val="-4"/>
          <w:sz w:val="28"/>
          <w:szCs w:val="28"/>
          <w:lang w:val="en-US" w:eastAsia="zh-CN"/>
        </w:rPr>
        <w:t>4.强化医疗质量管理，完善质控体系，提高医疗服务能力和技术水平，健全患者投诉管理机制。加大医疗便民惠民措施的推广力度，改进服务模式，优化服务流程，方便群众就医。进一步规范门诊、病房的管理，使群众真正得到实惠。</w:t>
      </w:r>
    </w:p>
    <w:p>
      <w:pPr>
        <w:pStyle w:val="4"/>
        <w:spacing w:line="360" w:lineRule="auto"/>
        <w:rPr>
          <w:rStyle w:val="16"/>
          <w:rFonts w:ascii="仿宋" w:hAnsi="仿宋" w:eastAsia="仿宋"/>
          <w:b/>
          <w:bCs/>
          <w:color w:val="auto"/>
          <w:sz w:val="28"/>
          <w:szCs w:val="28"/>
        </w:rPr>
      </w:pPr>
      <w:r>
        <w:rPr>
          <w:rStyle w:val="16"/>
          <w:rFonts w:hint="eastAsia" w:ascii="仿宋" w:hAnsi="仿宋" w:eastAsia="仿宋"/>
          <w:b/>
          <w:bCs/>
          <w:color w:val="auto"/>
          <w:sz w:val="28"/>
          <w:szCs w:val="28"/>
        </w:rPr>
        <w:t>（二）部门单位整体支出规模、</w:t>
      </w:r>
      <w:bookmarkStart w:id="7" w:name="_Hlk70339807"/>
      <w:r>
        <w:rPr>
          <w:rStyle w:val="16"/>
          <w:rFonts w:hint="eastAsia" w:ascii="仿宋" w:hAnsi="仿宋" w:eastAsia="仿宋"/>
          <w:b/>
          <w:bCs/>
          <w:color w:val="auto"/>
          <w:sz w:val="28"/>
          <w:szCs w:val="28"/>
        </w:rPr>
        <w:t>使用方法和主要内容、涉及对象及范围等</w:t>
      </w:r>
      <w:bookmarkEnd w:id="6"/>
    </w:p>
    <w:bookmarkEnd w:id="7"/>
    <w:p>
      <w:pPr>
        <w:spacing w:line="360" w:lineRule="auto"/>
        <w:ind w:firstLine="562" w:firstLineChars="200"/>
        <w:rPr>
          <w:rStyle w:val="16"/>
          <w:rFonts w:hint="eastAsia" w:ascii="仿宋" w:hAnsi="仿宋" w:eastAsia="仿宋" w:cstheme="minorBidi"/>
          <w:kern w:val="2"/>
          <w:sz w:val="28"/>
          <w:szCs w:val="28"/>
          <w:lang w:val="en-US" w:eastAsia="zh-CN" w:bidi="ar-SA"/>
        </w:rPr>
      </w:pPr>
      <w:bookmarkStart w:id="8" w:name="_Toc70450295"/>
      <w:r>
        <w:rPr>
          <w:rStyle w:val="16"/>
          <w:rFonts w:hint="eastAsia" w:ascii="仿宋" w:hAnsi="仿宋" w:eastAsia="仿宋" w:cstheme="minorBidi"/>
          <w:kern w:val="2"/>
          <w:sz w:val="28"/>
          <w:szCs w:val="28"/>
          <w:lang w:val="en-US" w:eastAsia="zh-CN" w:bidi="ar-SA"/>
        </w:rPr>
        <w:t>1、部门单位整体支出规模</w:t>
      </w:r>
      <w:bookmarkEnd w:id="8"/>
    </w:p>
    <w:p>
      <w:pPr>
        <w:spacing w:line="360" w:lineRule="auto"/>
        <w:ind w:firstLine="544" w:firstLineChars="200"/>
        <w:rPr>
          <w:rStyle w:val="16"/>
          <w:rFonts w:hint="eastAsia" w:ascii="仿宋_GB2312" w:hAnsi="楷体" w:eastAsia="仿宋_GB2312" w:cs="Times New Roman"/>
          <w:b w:val="0"/>
          <w:color w:val="auto"/>
          <w:spacing w:val="-4"/>
          <w:sz w:val="28"/>
          <w:szCs w:val="28"/>
          <w:lang w:val="en-US" w:eastAsia="zh-CN"/>
        </w:rPr>
      </w:pPr>
      <w:r>
        <w:rPr>
          <w:rStyle w:val="16"/>
          <w:rFonts w:hint="eastAsia" w:ascii="仿宋_GB2312" w:hAnsi="楷体" w:eastAsia="仿宋_GB2312" w:cs="Times New Roman"/>
          <w:b w:val="0"/>
          <w:color w:val="auto"/>
          <w:spacing w:val="-4"/>
          <w:sz w:val="28"/>
          <w:szCs w:val="28"/>
          <w:lang w:val="en-US" w:eastAsia="zh-CN"/>
        </w:rPr>
        <w:t>2021年批复我部门预算为507.70万元，其中：财政拨款为507.70万元。本年中追加225.22万元，调整率79.73%。对比上年406.36万元增加101.34万元，上升24.94%。</w:t>
      </w:r>
    </w:p>
    <w:p>
      <w:pPr>
        <w:spacing w:line="360" w:lineRule="auto"/>
        <w:ind w:firstLine="544" w:firstLineChars="200"/>
        <w:rPr>
          <w:rStyle w:val="16"/>
          <w:rFonts w:hint="eastAsia" w:ascii="仿宋_GB2312" w:hAnsi="楷体" w:eastAsia="仿宋_GB2312" w:cs="Times New Roman"/>
          <w:b w:val="0"/>
          <w:color w:val="auto"/>
          <w:spacing w:val="-4"/>
          <w:sz w:val="28"/>
          <w:szCs w:val="28"/>
          <w:lang w:val="en-US" w:eastAsia="zh-CN"/>
        </w:rPr>
      </w:pPr>
      <w:r>
        <w:rPr>
          <w:rStyle w:val="16"/>
          <w:rFonts w:hint="eastAsia" w:ascii="仿宋_GB2312" w:hAnsi="楷体" w:eastAsia="仿宋_GB2312" w:cs="Times New Roman"/>
          <w:b w:val="0"/>
          <w:color w:val="auto"/>
          <w:spacing w:val="-4"/>
          <w:sz w:val="28"/>
          <w:szCs w:val="28"/>
          <w:lang w:val="en-US" w:eastAsia="zh-CN"/>
        </w:rPr>
        <w:t>2021年实际决算支出507.70万元，执行率100%，其中：</w:t>
      </w:r>
    </w:p>
    <w:p>
      <w:pPr>
        <w:spacing w:line="360" w:lineRule="auto"/>
        <w:ind w:firstLine="544" w:firstLineChars="200"/>
        <w:rPr>
          <w:rStyle w:val="16"/>
          <w:rFonts w:hint="eastAsia" w:ascii="仿宋_GB2312" w:hAnsi="楷体" w:eastAsia="仿宋_GB2312" w:cs="Times New Roman"/>
          <w:b w:val="0"/>
          <w:color w:val="auto"/>
          <w:spacing w:val="-4"/>
          <w:sz w:val="28"/>
          <w:szCs w:val="28"/>
          <w:lang w:val="en-US" w:eastAsia="zh-CN"/>
        </w:rPr>
      </w:pPr>
      <w:r>
        <w:rPr>
          <w:rStyle w:val="16"/>
          <w:rFonts w:hint="eastAsia" w:ascii="仿宋_GB2312" w:hAnsi="楷体" w:eastAsia="仿宋_GB2312" w:cs="Times New Roman"/>
          <w:b w:val="0"/>
          <w:color w:val="auto"/>
          <w:spacing w:val="-4"/>
          <w:sz w:val="28"/>
          <w:szCs w:val="28"/>
          <w:lang w:val="en-US" w:eastAsia="zh-CN"/>
        </w:rPr>
        <w:t>（1）基本支出358.25万元，占总支出的70.56％，主要用于本部门机构正常运转、完成日常工作任务而发生的各项支出。其中：工资福利支出341.21万元，主要用于在职和离退休人员基本工资、津贴补贴等人员经费。商品和服务支出11.60万元，主要用于办公费、印刷费、水电费、办公设备购置等。对个人和家庭的补助5.44万元，主要用于退休人员经费。资本性支出0万元，主要用于：无</w:t>
      </w:r>
    </w:p>
    <w:p>
      <w:pPr>
        <w:spacing w:line="360" w:lineRule="auto"/>
        <w:ind w:firstLine="544" w:firstLineChars="200"/>
        <w:rPr>
          <w:rStyle w:val="16"/>
          <w:rFonts w:hint="eastAsia" w:ascii="仿宋_GB2312" w:hAnsi="楷体" w:eastAsia="仿宋_GB2312" w:cs="Times New Roman"/>
          <w:b w:val="0"/>
          <w:color w:val="auto"/>
          <w:spacing w:val="-4"/>
          <w:sz w:val="28"/>
          <w:szCs w:val="28"/>
          <w:lang w:val="en-US" w:eastAsia="zh-CN"/>
        </w:rPr>
      </w:pPr>
      <w:r>
        <w:rPr>
          <w:rStyle w:val="16"/>
          <w:rFonts w:hint="eastAsia" w:ascii="仿宋_GB2312" w:hAnsi="楷体" w:eastAsia="仿宋_GB2312" w:cs="Times New Roman"/>
          <w:b w:val="0"/>
          <w:color w:val="auto"/>
          <w:spacing w:val="-4"/>
          <w:sz w:val="28"/>
          <w:szCs w:val="28"/>
          <w:lang w:val="en-US" w:eastAsia="zh-CN"/>
        </w:rPr>
        <w:t>（2）项目支出149.45万元，占总支出的29.44％。其中：公共卫生项目安排123.70万元，基本药物补助18.47万元、全民体检资金7.28万元，主要用于完成基本公共卫生服务工作、基本药物补助、全民体检工作。</w:t>
      </w:r>
    </w:p>
    <w:p>
      <w:pPr>
        <w:spacing w:line="360" w:lineRule="auto"/>
        <w:ind w:firstLine="544" w:firstLineChars="200"/>
        <w:rPr>
          <w:rStyle w:val="16"/>
          <w:rFonts w:hint="eastAsia" w:ascii="仿宋_GB2312" w:hAnsi="楷体" w:eastAsia="仿宋_GB2312" w:cs="Times New Roman"/>
          <w:b w:val="0"/>
          <w:color w:val="auto"/>
          <w:spacing w:val="-4"/>
          <w:sz w:val="28"/>
          <w:szCs w:val="28"/>
          <w:lang w:val="en-US" w:eastAsia="zh-CN"/>
        </w:rPr>
      </w:pPr>
      <w:r>
        <w:rPr>
          <w:rStyle w:val="16"/>
          <w:rFonts w:hint="eastAsia" w:ascii="仿宋_GB2312" w:hAnsi="楷体" w:eastAsia="仿宋_GB2312" w:cs="Times New Roman"/>
          <w:b w:val="0"/>
          <w:color w:val="auto"/>
          <w:spacing w:val="-4"/>
          <w:sz w:val="28"/>
          <w:szCs w:val="28"/>
          <w:lang w:val="en-US" w:eastAsia="zh-CN"/>
        </w:rPr>
        <w:t>（3）本年度重点项目支出0 万元，重点支出保障率0%。其中重点保障项目是：无。</w:t>
      </w:r>
    </w:p>
    <w:p>
      <w:pPr>
        <w:spacing w:line="360" w:lineRule="auto"/>
        <w:ind w:firstLine="544" w:firstLineChars="200"/>
        <w:rPr>
          <w:rStyle w:val="16"/>
          <w:rFonts w:hint="eastAsia" w:ascii="仿宋_GB2312" w:hAnsi="楷体" w:eastAsia="仿宋_GB2312" w:cs="Times New Roman"/>
          <w:b w:val="0"/>
          <w:color w:val="auto"/>
          <w:spacing w:val="-4"/>
          <w:sz w:val="28"/>
          <w:szCs w:val="28"/>
          <w:lang w:val="en-US" w:eastAsia="zh-CN"/>
        </w:rPr>
      </w:pPr>
      <w:r>
        <w:rPr>
          <w:rStyle w:val="16"/>
          <w:rFonts w:hint="eastAsia" w:ascii="仿宋_GB2312" w:hAnsi="楷体" w:eastAsia="仿宋_GB2312" w:cs="Times New Roman"/>
          <w:b w:val="0"/>
          <w:color w:val="auto"/>
          <w:spacing w:val="-4"/>
          <w:sz w:val="28"/>
          <w:szCs w:val="28"/>
          <w:lang w:val="en-US" w:eastAsia="zh-CN"/>
        </w:rPr>
        <w:t>（4）本年度我单位无政府采购预算</w:t>
      </w:r>
    </w:p>
    <w:p>
      <w:pPr>
        <w:pStyle w:val="5"/>
        <w:spacing w:line="360" w:lineRule="auto"/>
        <w:ind w:firstLine="562" w:firstLineChars="200"/>
        <w:rPr>
          <w:rStyle w:val="16"/>
          <w:rFonts w:ascii="仿宋" w:hAnsi="仿宋" w:eastAsia="仿宋"/>
          <w:b/>
          <w:bCs/>
          <w:color w:val="auto"/>
        </w:rPr>
      </w:pPr>
      <w:bookmarkStart w:id="9" w:name="_Toc70450296"/>
      <w:r>
        <w:rPr>
          <w:rStyle w:val="16"/>
          <w:rFonts w:ascii="仿宋" w:hAnsi="仿宋" w:eastAsia="仿宋"/>
          <w:b/>
          <w:bCs/>
          <w:color w:val="auto"/>
        </w:rPr>
        <w:t>2</w:t>
      </w:r>
      <w:r>
        <w:rPr>
          <w:rStyle w:val="16"/>
          <w:rFonts w:hint="eastAsia" w:ascii="仿宋" w:hAnsi="仿宋" w:eastAsia="仿宋"/>
          <w:b/>
          <w:bCs/>
          <w:color w:val="auto"/>
        </w:rPr>
        <w:t>、整体支出评价使用方法和主要内容、涉及对象及范围等</w:t>
      </w:r>
      <w:bookmarkEnd w:id="9"/>
    </w:p>
    <w:p>
      <w:pPr>
        <w:spacing w:line="360" w:lineRule="auto"/>
        <w:ind w:firstLine="560" w:firstLineChars="200"/>
        <w:rPr>
          <w:rStyle w:val="16"/>
          <w:rFonts w:ascii="仿宋_GB2312" w:eastAsia="仿宋_GB2312"/>
          <w:b w:val="0"/>
          <w:bCs w:val="0"/>
          <w:color w:val="auto"/>
          <w:sz w:val="28"/>
          <w:szCs w:val="36"/>
        </w:rPr>
      </w:pPr>
      <w:r>
        <w:rPr>
          <w:rFonts w:hint="eastAsia" w:ascii="仿宋_GB2312" w:eastAsia="仿宋_GB2312"/>
          <w:color w:val="auto"/>
          <w:sz w:val="28"/>
          <w:szCs w:val="36"/>
        </w:rPr>
        <w:t>（1）</w:t>
      </w:r>
      <w:r>
        <w:rPr>
          <w:rStyle w:val="16"/>
          <w:rFonts w:hint="eastAsia" w:ascii="仿宋_GB2312" w:eastAsia="仿宋_GB2312"/>
          <w:b w:val="0"/>
          <w:bCs w:val="0"/>
          <w:color w:val="auto"/>
          <w:sz w:val="28"/>
          <w:szCs w:val="36"/>
        </w:rPr>
        <w:t>整体支出评价使用方法</w:t>
      </w:r>
    </w:p>
    <w:p>
      <w:pPr>
        <w:spacing w:line="360" w:lineRule="auto"/>
        <w:ind w:firstLine="544" w:firstLineChars="200"/>
        <w:rPr>
          <w:rStyle w:val="16"/>
          <w:rFonts w:hint="eastAsia" w:ascii="仿宋_GB2312" w:hAnsi="楷体" w:eastAsia="仿宋_GB2312" w:cs="Times New Roman"/>
          <w:b w:val="0"/>
          <w:color w:val="auto"/>
          <w:spacing w:val="-4"/>
          <w:sz w:val="28"/>
          <w:szCs w:val="28"/>
          <w:lang w:val="en-US" w:eastAsia="zh-CN"/>
        </w:rPr>
      </w:pPr>
      <w:r>
        <w:rPr>
          <w:rStyle w:val="16"/>
          <w:rFonts w:hint="eastAsia" w:ascii="仿宋_GB2312" w:hAnsi="楷体" w:eastAsia="仿宋_GB2312" w:cs="Times New Roman"/>
          <w:b w:val="0"/>
          <w:color w:val="auto"/>
          <w:spacing w:val="-4"/>
          <w:sz w:val="28"/>
          <w:szCs w:val="28"/>
          <w:lang w:val="en-US" w:eastAsia="zh-CN"/>
        </w:rPr>
        <w:t>本次部单位整体支出绩效自评采用比较法方法，原因是：强化医疗质量管理，完善质控体系，提高医疗服务能力和技术水平，健全患者投诉管理机制。加大医疗便民惠民措施的推广力度，改进服务模式，优化服务流程，方便群众就医。进一步规范门诊、病房的管理，使群众真正得到实惠，</w:t>
      </w:r>
    </w:p>
    <w:p>
      <w:pPr>
        <w:spacing w:line="360" w:lineRule="auto"/>
        <w:ind w:firstLine="560" w:firstLineChars="200"/>
        <w:rPr>
          <w:rStyle w:val="16"/>
          <w:rFonts w:hint="eastAsia" w:ascii="仿宋_GB2312" w:eastAsia="仿宋_GB2312"/>
          <w:b w:val="0"/>
          <w:bCs w:val="0"/>
          <w:sz w:val="28"/>
          <w:szCs w:val="36"/>
        </w:rPr>
      </w:pPr>
      <w:r>
        <w:rPr>
          <w:rStyle w:val="16"/>
          <w:rFonts w:hint="eastAsia" w:ascii="仿宋_GB2312" w:eastAsia="仿宋_GB2312"/>
          <w:b w:val="0"/>
          <w:bCs w:val="0"/>
          <w:sz w:val="28"/>
          <w:szCs w:val="36"/>
        </w:rPr>
        <w:t>（2）整体支出评价主要内容</w:t>
      </w:r>
    </w:p>
    <w:p>
      <w:pPr>
        <w:spacing w:line="360" w:lineRule="auto"/>
        <w:ind w:firstLine="544" w:firstLineChars="200"/>
        <w:rPr>
          <w:rStyle w:val="16"/>
          <w:rFonts w:hint="eastAsia" w:ascii="仿宋_GB2312" w:hAnsi="楷体" w:eastAsia="仿宋_GB2312" w:cs="Times New Roman"/>
          <w:b w:val="0"/>
          <w:color w:val="auto"/>
          <w:spacing w:val="-4"/>
          <w:sz w:val="28"/>
          <w:szCs w:val="28"/>
          <w:lang w:val="en-US" w:eastAsia="zh-CN"/>
        </w:rPr>
      </w:pPr>
      <w:r>
        <w:rPr>
          <w:rStyle w:val="16"/>
          <w:rFonts w:hint="eastAsia" w:ascii="仿宋_GB2312" w:hAnsi="楷体" w:eastAsia="仿宋_GB2312" w:cs="Times New Roman"/>
          <w:b w:val="0"/>
          <w:color w:val="auto"/>
          <w:spacing w:val="-4"/>
          <w:sz w:val="28"/>
          <w:szCs w:val="28"/>
          <w:lang w:val="en-US" w:eastAsia="zh-CN"/>
        </w:rPr>
        <w:fldChar w:fldCharType="begin"/>
      </w:r>
      <w:r>
        <w:rPr>
          <w:rStyle w:val="16"/>
          <w:rFonts w:hint="eastAsia" w:ascii="仿宋_GB2312" w:hAnsi="楷体" w:eastAsia="仿宋_GB2312" w:cs="Times New Roman"/>
          <w:b w:val="0"/>
          <w:color w:val="auto"/>
          <w:spacing w:val="-4"/>
          <w:sz w:val="28"/>
          <w:szCs w:val="28"/>
          <w:lang w:val="en-US" w:eastAsia="zh-CN"/>
        </w:rPr>
        <w:instrText xml:space="preserve"> = 1 \* GB3 </w:instrText>
      </w:r>
      <w:r>
        <w:rPr>
          <w:rStyle w:val="16"/>
          <w:rFonts w:hint="eastAsia" w:ascii="仿宋_GB2312" w:hAnsi="楷体" w:eastAsia="仿宋_GB2312" w:cs="Times New Roman"/>
          <w:b w:val="0"/>
          <w:color w:val="auto"/>
          <w:spacing w:val="-4"/>
          <w:sz w:val="28"/>
          <w:szCs w:val="28"/>
          <w:lang w:val="en-US" w:eastAsia="zh-CN"/>
        </w:rPr>
        <w:fldChar w:fldCharType="separate"/>
      </w:r>
      <w:r>
        <w:rPr>
          <w:rStyle w:val="16"/>
          <w:rFonts w:hint="eastAsia" w:ascii="仿宋_GB2312" w:hAnsi="楷体" w:eastAsia="仿宋_GB2312" w:cs="Times New Roman"/>
          <w:b w:val="0"/>
          <w:color w:val="auto"/>
          <w:spacing w:val="-4"/>
          <w:sz w:val="28"/>
          <w:szCs w:val="28"/>
          <w:lang w:val="en-US" w:eastAsia="zh-CN"/>
        </w:rPr>
        <w:t>①</w:t>
      </w:r>
      <w:r>
        <w:rPr>
          <w:rStyle w:val="16"/>
          <w:rFonts w:hint="eastAsia" w:ascii="仿宋_GB2312" w:hAnsi="楷体" w:eastAsia="仿宋_GB2312" w:cs="Times New Roman"/>
          <w:b w:val="0"/>
          <w:color w:val="auto"/>
          <w:spacing w:val="-4"/>
          <w:sz w:val="28"/>
          <w:szCs w:val="28"/>
          <w:lang w:val="en-US" w:eastAsia="zh-CN"/>
        </w:rPr>
        <w:fldChar w:fldCharType="end"/>
      </w:r>
      <w:r>
        <w:rPr>
          <w:rStyle w:val="16"/>
          <w:rFonts w:hint="eastAsia" w:ascii="仿宋_GB2312" w:hAnsi="楷体" w:eastAsia="仿宋_GB2312" w:cs="Times New Roman"/>
          <w:b w:val="0"/>
          <w:color w:val="auto"/>
          <w:spacing w:val="-4"/>
          <w:sz w:val="28"/>
          <w:szCs w:val="28"/>
          <w:lang w:val="en-US" w:eastAsia="zh-CN"/>
        </w:rPr>
        <w:t>绩效目标的设定情况。重点评价绩效目标设立的充分性、明确性、合理性以及细化程度。</w:t>
      </w:r>
    </w:p>
    <w:p>
      <w:pPr>
        <w:spacing w:line="360" w:lineRule="auto"/>
        <w:ind w:firstLine="544" w:firstLineChars="200"/>
        <w:rPr>
          <w:rStyle w:val="16"/>
          <w:rFonts w:hint="eastAsia" w:ascii="仿宋_GB2312" w:hAnsi="楷体" w:eastAsia="仿宋_GB2312" w:cs="Times New Roman"/>
          <w:b w:val="0"/>
          <w:color w:val="auto"/>
          <w:spacing w:val="-4"/>
          <w:sz w:val="28"/>
          <w:szCs w:val="28"/>
          <w:lang w:val="en-US" w:eastAsia="zh-CN"/>
        </w:rPr>
      </w:pPr>
      <w:r>
        <w:rPr>
          <w:rStyle w:val="16"/>
          <w:rFonts w:hint="eastAsia" w:ascii="仿宋_GB2312" w:hAnsi="楷体" w:eastAsia="仿宋_GB2312" w:cs="Times New Roman"/>
          <w:b w:val="0"/>
          <w:color w:val="auto"/>
          <w:spacing w:val="-4"/>
          <w:sz w:val="28"/>
          <w:szCs w:val="28"/>
          <w:lang w:val="en-US" w:eastAsia="zh-CN"/>
        </w:rPr>
        <w:fldChar w:fldCharType="begin"/>
      </w:r>
      <w:r>
        <w:rPr>
          <w:rStyle w:val="16"/>
          <w:rFonts w:hint="eastAsia" w:ascii="仿宋_GB2312" w:hAnsi="楷体" w:eastAsia="仿宋_GB2312" w:cs="Times New Roman"/>
          <w:b w:val="0"/>
          <w:color w:val="auto"/>
          <w:spacing w:val="-4"/>
          <w:sz w:val="28"/>
          <w:szCs w:val="28"/>
          <w:lang w:val="en-US" w:eastAsia="zh-CN"/>
        </w:rPr>
        <w:instrText xml:space="preserve"> = 2 \* GB3 </w:instrText>
      </w:r>
      <w:r>
        <w:rPr>
          <w:rStyle w:val="16"/>
          <w:rFonts w:hint="eastAsia" w:ascii="仿宋_GB2312" w:hAnsi="楷体" w:eastAsia="仿宋_GB2312" w:cs="Times New Roman"/>
          <w:b w:val="0"/>
          <w:color w:val="auto"/>
          <w:spacing w:val="-4"/>
          <w:sz w:val="28"/>
          <w:szCs w:val="28"/>
          <w:lang w:val="en-US" w:eastAsia="zh-CN"/>
        </w:rPr>
        <w:fldChar w:fldCharType="separate"/>
      </w:r>
      <w:r>
        <w:rPr>
          <w:rStyle w:val="16"/>
          <w:rFonts w:hint="eastAsia" w:ascii="仿宋_GB2312" w:hAnsi="楷体" w:eastAsia="仿宋_GB2312" w:cs="Times New Roman"/>
          <w:b w:val="0"/>
          <w:color w:val="auto"/>
          <w:spacing w:val="-4"/>
          <w:sz w:val="28"/>
          <w:szCs w:val="28"/>
          <w:lang w:val="en-US" w:eastAsia="zh-CN"/>
        </w:rPr>
        <w:t>②</w:t>
      </w:r>
      <w:r>
        <w:rPr>
          <w:rStyle w:val="16"/>
          <w:rFonts w:hint="eastAsia" w:ascii="仿宋_GB2312" w:hAnsi="楷体" w:eastAsia="仿宋_GB2312" w:cs="Times New Roman"/>
          <w:b w:val="0"/>
          <w:color w:val="auto"/>
          <w:spacing w:val="-4"/>
          <w:sz w:val="28"/>
          <w:szCs w:val="28"/>
          <w:lang w:val="en-US" w:eastAsia="zh-CN"/>
        </w:rPr>
        <w:fldChar w:fldCharType="end"/>
      </w:r>
      <w:r>
        <w:rPr>
          <w:rStyle w:val="16"/>
          <w:rFonts w:hint="eastAsia" w:ascii="仿宋_GB2312" w:hAnsi="楷体" w:eastAsia="仿宋_GB2312" w:cs="Times New Roman"/>
          <w:b w:val="0"/>
          <w:color w:val="auto"/>
          <w:spacing w:val="-4"/>
          <w:sz w:val="28"/>
          <w:szCs w:val="28"/>
          <w:lang w:val="en-US" w:eastAsia="zh-CN"/>
        </w:rPr>
        <w:t>资金投入和使用情况。重点评价资金分配过程、投入方式、资金到位、预算执行和结果。</w:t>
      </w:r>
    </w:p>
    <w:p>
      <w:pPr>
        <w:spacing w:line="360" w:lineRule="auto"/>
        <w:ind w:firstLine="544" w:firstLineChars="200"/>
        <w:rPr>
          <w:rStyle w:val="16"/>
          <w:rFonts w:hint="eastAsia" w:ascii="仿宋_GB2312" w:hAnsi="楷体" w:eastAsia="仿宋_GB2312" w:cs="Times New Roman"/>
          <w:b w:val="0"/>
          <w:color w:val="auto"/>
          <w:spacing w:val="-4"/>
          <w:sz w:val="28"/>
          <w:szCs w:val="28"/>
          <w:lang w:val="en-US" w:eastAsia="zh-CN"/>
        </w:rPr>
      </w:pPr>
      <w:r>
        <w:rPr>
          <w:rStyle w:val="16"/>
          <w:rFonts w:hint="eastAsia" w:ascii="仿宋_GB2312" w:hAnsi="楷体" w:eastAsia="仿宋_GB2312" w:cs="Times New Roman"/>
          <w:b w:val="0"/>
          <w:color w:val="auto"/>
          <w:spacing w:val="-4"/>
          <w:sz w:val="28"/>
          <w:szCs w:val="28"/>
          <w:lang w:val="en-US" w:eastAsia="zh-CN"/>
        </w:rPr>
        <w:fldChar w:fldCharType="begin"/>
      </w:r>
      <w:r>
        <w:rPr>
          <w:rStyle w:val="16"/>
          <w:rFonts w:hint="eastAsia" w:ascii="仿宋_GB2312" w:hAnsi="楷体" w:eastAsia="仿宋_GB2312" w:cs="Times New Roman"/>
          <w:b w:val="0"/>
          <w:color w:val="auto"/>
          <w:spacing w:val="-4"/>
          <w:sz w:val="28"/>
          <w:szCs w:val="28"/>
          <w:lang w:val="en-US" w:eastAsia="zh-CN"/>
        </w:rPr>
        <w:instrText xml:space="preserve"> = 3 \* GB3 </w:instrText>
      </w:r>
      <w:r>
        <w:rPr>
          <w:rStyle w:val="16"/>
          <w:rFonts w:hint="eastAsia" w:ascii="仿宋_GB2312" w:hAnsi="楷体" w:eastAsia="仿宋_GB2312" w:cs="Times New Roman"/>
          <w:b w:val="0"/>
          <w:color w:val="auto"/>
          <w:spacing w:val="-4"/>
          <w:sz w:val="28"/>
          <w:szCs w:val="28"/>
          <w:lang w:val="en-US" w:eastAsia="zh-CN"/>
        </w:rPr>
        <w:fldChar w:fldCharType="separate"/>
      </w:r>
      <w:r>
        <w:rPr>
          <w:rStyle w:val="16"/>
          <w:rFonts w:hint="eastAsia" w:ascii="仿宋_GB2312" w:hAnsi="楷体" w:eastAsia="仿宋_GB2312" w:cs="Times New Roman"/>
          <w:b w:val="0"/>
          <w:color w:val="auto"/>
          <w:spacing w:val="-4"/>
          <w:sz w:val="28"/>
          <w:szCs w:val="28"/>
          <w:lang w:val="en-US" w:eastAsia="zh-CN"/>
        </w:rPr>
        <w:t>③</w:t>
      </w:r>
      <w:r>
        <w:rPr>
          <w:rStyle w:val="16"/>
          <w:rFonts w:hint="eastAsia" w:ascii="仿宋_GB2312" w:hAnsi="楷体" w:eastAsia="仿宋_GB2312" w:cs="Times New Roman"/>
          <w:b w:val="0"/>
          <w:color w:val="auto"/>
          <w:spacing w:val="-4"/>
          <w:sz w:val="28"/>
          <w:szCs w:val="28"/>
          <w:lang w:val="en-US" w:eastAsia="zh-CN"/>
        </w:rPr>
        <w:fldChar w:fldCharType="end"/>
      </w:r>
      <w:r>
        <w:rPr>
          <w:rStyle w:val="16"/>
          <w:rFonts w:hint="eastAsia" w:ascii="仿宋_GB2312" w:hAnsi="楷体" w:eastAsia="仿宋_GB2312" w:cs="Times New Roman"/>
          <w:b w:val="0"/>
          <w:color w:val="auto"/>
          <w:spacing w:val="-4"/>
          <w:sz w:val="28"/>
          <w:szCs w:val="28"/>
          <w:lang w:val="en-US" w:eastAsia="zh-CN"/>
        </w:rPr>
        <w:t>为实现绩效目标制定的制度、采取的措施等。包括项目管理制度、财务管理制度、资产管理制度和绩效跟踪管理措施等。</w:t>
      </w:r>
    </w:p>
    <w:p>
      <w:pPr>
        <w:spacing w:line="360" w:lineRule="auto"/>
        <w:ind w:firstLine="544" w:firstLineChars="200"/>
        <w:rPr>
          <w:rStyle w:val="16"/>
          <w:rFonts w:hint="eastAsia" w:ascii="仿宋_GB2312" w:hAnsi="楷体" w:eastAsia="仿宋_GB2312" w:cs="Times New Roman"/>
          <w:b w:val="0"/>
          <w:color w:val="auto"/>
          <w:spacing w:val="-4"/>
          <w:sz w:val="28"/>
          <w:szCs w:val="28"/>
          <w:lang w:val="en-US" w:eastAsia="zh-CN"/>
        </w:rPr>
      </w:pPr>
      <w:r>
        <w:rPr>
          <w:rStyle w:val="16"/>
          <w:rFonts w:hint="eastAsia" w:ascii="仿宋_GB2312" w:hAnsi="楷体" w:eastAsia="仿宋_GB2312" w:cs="Times New Roman"/>
          <w:b w:val="0"/>
          <w:color w:val="auto"/>
          <w:spacing w:val="-4"/>
          <w:sz w:val="28"/>
          <w:szCs w:val="28"/>
          <w:lang w:val="en-US" w:eastAsia="zh-CN"/>
        </w:rPr>
        <w:fldChar w:fldCharType="begin"/>
      </w:r>
      <w:r>
        <w:rPr>
          <w:rStyle w:val="16"/>
          <w:rFonts w:hint="eastAsia" w:ascii="仿宋_GB2312" w:hAnsi="楷体" w:eastAsia="仿宋_GB2312" w:cs="Times New Roman"/>
          <w:b w:val="0"/>
          <w:color w:val="auto"/>
          <w:spacing w:val="-4"/>
          <w:sz w:val="28"/>
          <w:szCs w:val="28"/>
          <w:lang w:val="en-US" w:eastAsia="zh-CN"/>
        </w:rPr>
        <w:instrText xml:space="preserve"> = 4 \* GB3 </w:instrText>
      </w:r>
      <w:r>
        <w:rPr>
          <w:rStyle w:val="16"/>
          <w:rFonts w:hint="eastAsia" w:ascii="仿宋_GB2312" w:hAnsi="楷体" w:eastAsia="仿宋_GB2312" w:cs="Times New Roman"/>
          <w:b w:val="0"/>
          <w:color w:val="auto"/>
          <w:spacing w:val="-4"/>
          <w:sz w:val="28"/>
          <w:szCs w:val="28"/>
          <w:lang w:val="en-US" w:eastAsia="zh-CN"/>
        </w:rPr>
        <w:fldChar w:fldCharType="separate"/>
      </w:r>
      <w:r>
        <w:rPr>
          <w:rStyle w:val="16"/>
          <w:rFonts w:hint="eastAsia" w:ascii="仿宋_GB2312" w:hAnsi="楷体" w:eastAsia="仿宋_GB2312" w:cs="Times New Roman"/>
          <w:b w:val="0"/>
          <w:color w:val="auto"/>
          <w:spacing w:val="-4"/>
          <w:sz w:val="28"/>
          <w:szCs w:val="28"/>
          <w:lang w:val="en-US" w:eastAsia="zh-CN"/>
        </w:rPr>
        <w:t>④</w:t>
      </w:r>
      <w:r>
        <w:rPr>
          <w:rStyle w:val="16"/>
          <w:rFonts w:hint="eastAsia" w:ascii="仿宋_GB2312" w:hAnsi="楷体" w:eastAsia="仿宋_GB2312" w:cs="Times New Roman"/>
          <w:b w:val="0"/>
          <w:color w:val="auto"/>
          <w:spacing w:val="-4"/>
          <w:sz w:val="28"/>
          <w:szCs w:val="28"/>
          <w:lang w:val="en-US" w:eastAsia="zh-CN"/>
        </w:rPr>
        <w:fldChar w:fldCharType="end"/>
      </w:r>
      <w:r>
        <w:rPr>
          <w:rStyle w:val="16"/>
          <w:rFonts w:hint="eastAsia" w:ascii="仿宋_GB2312" w:hAnsi="楷体" w:eastAsia="仿宋_GB2312" w:cs="Times New Roman"/>
          <w:b w:val="0"/>
          <w:color w:val="auto"/>
          <w:spacing w:val="-4"/>
          <w:sz w:val="28"/>
          <w:szCs w:val="28"/>
          <w:lang w:val="en-US" w:eastAsia="zh-CN"/>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（3）整体支出评价涉及对象及范围</w:t>
      </w:r>
    </w:p>
    <w:p>
      <w:pPr>
        <w:spacing w:line="360" w:lineRule="auto"/>
        <w:ind w:firstLine="560" w:firstLineChars="200"/>
        <w:rPr>
          <w:rStyle w:val="16"/>
          <w:rFonts w:ascii="仿宋_GB2312" w:eastAsia="仿宋_GB2312"/>
          <w:b w:val="0"/>
          <w:bCs w:val="0"/>
          <w:sz w:val="28"/>
          <w:szCs w:val="36"/>
          <w:highlight w:val="none"/>
        </w:rPr>
      </w:pPr>
      <w:r>
        <w:rPr>
          <w:rStyle w:val="16"/>
          <w:rFonts w:hint="eastAsia" w:ascii="仿宋_GB2312" w:eastAsia="仿宋_GB2312"/>
          <w:b w:val="0"/>
          <w:bCs w:val="0"/>
          <w:sz w:val="28"/>
          <w:szCs w:val="36"/>
        </w:rPr>
        <w:t>涉及对象</w:t>
      </w:r>
      <w:r>
        <w:rPr>
          <w:rStyle w:val="16"/>
          <w:rFonts w:hint="eastAsia" w:ascii="仿宋_GB2312" w:eastAsia="仿宋_GB2312"/>
          <w:b w:val="0"/>
          <w:bCs w:val="0"/>
          <w:sz w:val="28"/>
          <w:szCs w:val="36"/>
          <w:highlight w:val="none"/>
        </w:rPr>
        <w:t>：</w:t>
      </w:r>
      <w:r>
        <w:rPr>
          <w:rFonts w:hint="eastAsia" w:ascii="仿宋_GB2312" w:eastAsia="仿宋_GB2312"/>
          <w:sz w:val="28"/>
          <w:szCs w:val="36"/>
          <w:highlight w:val="none"/>
        </w:rPr>
        <w:t>本次评价对象是</w:t>
      </w:r>
      <w:r>
        <w:rPr>
          <w:rFonts w:hint="eastAsia" w:ascii="仿宋_GB2312" w:eastAsia="仿宋_GB2312"/>
          <w:sz w:val="28"/>
          <w:szCs w:val="36"/>
          <w:highlight w:val="none"/>
          <w:lang w:eastAsia="zh-CN"/>
        </w:rPr>
        <w:t>特克斯县</w:t>
      </w:r>
      <w:r>
        <w:rPr>
          <w:rFonts w:hint="eastAsia" w:ascii="仿宋_GB2312" w:eastAsia="仿宋_GB2312"/>
          <w:sz w:val="28"/>
          <w:szCs w:val="36"/>
          <w:highlight w:val="none"/>
          <w:lang w:val="en-US" w:eastAsia="zh-CN"/>
        </w:rPr>
        <w:t>齐勒乌泽克镇</w:t>
      </w:r>
      <w:r>
        <w:rPr>
          <w:rFonts w:hint="eastAsia" w:ascii="仿宋_GB2312" w:eastAsia="仿宋_GB2312"/>
          <w:sz w:val="28"/>
          <w:szCs w:val="36"/>
          <w:highlight w:val="none"/>
        </w:rPr>
        <w:t>所有财政资金支出活动。</w:t>
      </w:r>
    </w:p>
    <w:p>
      <w:pPr>
        <w:spacing w:line="360" w:lineRule="auto"/>
        <w:ind w:firstLine="560" w:firstLineChars="200"/>
        <w:rPr>
          <w:rStyle w:val="16"/>
          <w:rFonts w:ascii="仿宋_GB2312" w:eastAsia="仿宋_GB2312"/>
          <w:b w:val="0"/>
          <w:bCs w:val="0"/>
          <w:sz w:val="28"/>
          <w:szCs w:val="36"/>
          <w:highlight w:val="none"/>
        </w:rPr>
      </w:pPr>
      <w:r>
        <w:rPr>
          <w:rStyle w:val="16"/>
          <w:rFonts w:hint="eastAsia" w:ascii="仿宋_GB2312" w:eastAsia="仿宋_GB2312"/>
          <w:b w:val="0"/>
          <w:bCs w:val="0"/>
          <w:sz w:val="28"/>
          <w:szCs w:val="36"/>
          <w:highlight w:val="none"/>
        </w:rPr>
        <w:t>整体支出评价范围：</w:t>
      </w:r>
    </w:p>
    <w:p>
      <w:pPr>
        <w:spacing w:line="360" w:lineRule="auto"/>
        <w:ind w:firstLine="544" w:firstLineChars="200"/>
        <w:rPr>
          <w:rStyle w:val="16"/>
          <w:rFonts w:hint="eastAsia" w:ascii="仿宋_GB2312" w:hAnsi="楷体" w:eastAsia="仿宋_GB2312"/>
          <w:b w:val="0"/>
          <w:spacing w:val="-4"/>
          <w:sz w:val="28"/>
          <w:szCs w:val="28"/>
          <w:highlight w:val="none"/>
          <w:lang w:eastAsia="zh-CN"/>
        </w:rPr>
      </w:pPr>
      <w:bookmarkStart w:id="10" w:name="_Toc70450297"/>
      <w:r>
        <w:rPr>
          <w:rStyle w:val="16"/>
          <w:rFonts w:ascii="仿宋_GB2312" w:hAnsi="楷体" w:eastAsia="仿宋_GB2312"/>
          <w:b w:val="0"/>
          <w:spacing w:val="-4"/>
          <w:sz w:val="28"/>
          <w:szCs w:val="28"/>
          <w:highlight w:val="none"/>
        </w:rPr>
        <w:fldChar w:fldCharType="begin"/>
      </w:r>
      <w:r>
        <w:rPr>
          <w:rStyle w:val="16"/>
          <w:rFonts w:ascii="仿宋_GB2312" w:hAnsi="楷体" w:eastAsia="仿宋_GB2312"/>
          <w:b w:val="0"/>
          <w:spacing w:val="-4"/>
          <w:sz w:val="28"/>
          <w:szCs w:val="28"/>
          <w:highlight w:val="none"/>
        </w:rPr>
        <w:instrText xml:space="preserve"> </w:instrText>
      </w:r>
      <w:r>
        <w:rPr>
          <w:rStyle w:val="16"/>
          <w:rFonts w:hint="eastAsia" w:ascii="仿宋_GB2312" w:hAnsi="楷体" w:eastAsia="仿宋_GB2312"/>
          <w:b w:val="0"/>
          <w:spacing w:val="-4"/>
          <w:sz w:val="28"/>
          <w:szCs w:val="28"/>
          <w:highlight w:val="none"/>
        </w:rPr>
        <w:instrText xml:space="preserve">= 1 \* GB3</w:instrText>
      </w:r>
      <w:r>
        <w:rPr>
          <w:rStyle w:val="16"/>
          <w:rFonts w:ascii="仿宋_GB2312" w:hAnsi="楷体" w:eastAsia="仿宋_GB2312"/>
          <w:b w:val="0"/>
          <w:spacing w:val="-4"/>
          <w:sz w:val="28"/>
          <w:szCs w:val="28"/>
          <w:highlight w:val="none"/>
        </w:rPr>
        <w:instrText xml:space="preserve"> </w:instrText>
      </w:r>
      <w:r>
        <w:rPr>
          <w:rStyle w:val="16"/>
          <w:rFonts w:ascii="仿宋_GB2312" w:hAnsi="楷体" w:eastAsia="仿宋_GB2312"/>
          <w:b w:val="0"/>
          <w:spacing w:val="-4"/>
          <w:sz w:val="28"/>
          <w:szCs w:val="28"/>
          <w:highlight w:val="none"/>
        </w:rPr>
        <w:fldChar w:fldCharType="separate"/>
      </w:r>
      <w:r>
        <w:rPr>
          <w:rStyle w:val="16"/>
          <w:rFonts w:hint="eastAsia" w:ascii="仿宋_GB2312" w:hAnsi="楷体" w:eastAsia="仿宋_GB2312"/>
          <w:b w:val="0"/>
          <w:spacing w:val="-4"/>
          <w:sz w:val="28"/>
          <w:szCs w:val="28"/>
          <w:highlight w:val="none"/>
        </w:rPr>
        <w:t>①</w:t>
      </w:r>
      <w:r>
        <w:rPr>
          <w:rStyle w:val="16"/>
          <w:rFonts w:ascii="仿宋_GB2312" w:hAnsi="楷体" w:eastAsia="仿宋_GB2312"/>
          <w:b w:val="0"/>
          <w:spacing w:val="-4"/>
          <w:sz w:val="28"/>
          <w:szCs w:val="28"/>
          <w:highlight w:val="none"/>
        </w:rPr>
        <w:fldChar w:fldCharType="end"/>
      </w:r>
      <w:r>
        <w:rPr>
          <w:rStyle w:val="16"/>
          <w:rFonts w:hint="eastAsia" w:ascii="仿宋_GB2312" w:hAnsi="楷体" w:eastAsia="仿宋_GB2312"/>
          <w:b w:val="0"/>
          <w:spacing w:val="-4"/>
          <w:sz w:val="28"/>
          <w:szCs w:val="28"/>
          <w:highlight w:val="none"/>
        </w:rPr>
        <w:t>基本支出</w:t>
      </w:r>
      <w:r>
        <w:rPr>
          <w:rStyle w:val="16"/>
          <w:rFonts w:hint="eastAsia" w:ascii="仿宋_GB2312" w:hAnsi="楷体" w:eastAsia="仿宋_GB2312"/>
          <w:b w:val="0"/>
          <w:spacing w:val="-4"/>
          <w:sz w:val="28"/>
          <w:szCs w:val="28"/>
          <w:highlight w:val="none"/>
          <w:lang w:val="en-US" w:eastAsia="zh-CN"/>
        </w:rPr>
        <w:t>358.25</w:t>
      </w:r>
      <w:r>
        <w:rPr>
          <w:rStyle w:val="16"/>
          <w:rFonts w:hint="eastAsia" w:ascii="仿宋_GB2312" w:hAnsi="楷体" w:eastAsia="仿宋_GB2312"/>
          <w:b w:val="0"/>
          <w:spacing w:val="-4"/>
          <w:sz w:val="28"/>
          <w:szCs w:val="28"/>
          <w:highlight w:val="none"/>
        </w:rPr>
        <w:t>万元，其中：工资福利支出、商品和服务支出、对个人和家庭的补助支出</w:t>
      </w:r>
      <w:r>
        <w:rPr>
          <w:rStyle w:val="16"/>
          <w:rFonts w:hint="eastAsia" w:ascii="仿宋_GB2312" w:hAnsi="楷体" w:eastAsia="仿宋_GB2312"/>
          <w:b w:val="0"/>
          <w:spacing w:val="-4"/>
          <w:sz w:val="28"/>
          <w:szCs w:val="28"/>
          <w:highlight w:val="none"/>
          <w:lang w:eastAsia="zh-CN"/>
        </w:rPr>
        <w:t>。</w:t>
      </w:r>
    </w:p>
    <w:p>
      <w:pPr>
        <w:numPr>
          <w:ilvl w:val="0"/>
          <w:numId w:val="0"/>
        </w:num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ascii="仿宋_GB2312" w:hAnsi="楷体" w:eastAsia="仿宋_GB2312"/>
          <w:b w:val="0"/>
          <w:spacing w:val="-4"/>
          <w:sz w:val="28"/>
          <w:szCs w:val="28"/>
          <w:highlight w:val="none"/>
        </w:rPr>
        <w:fldChar w:fldCharType="begin"/>
      </w:r>
      <w:r>
        <w:rPr>
          <w:rStyle w:val="16"/>
          <w:rFonts w:ascii="仿宋_GB2312" w:hAnsi="楷体" w:eastAsia="仿宋_GB2312"/>
          <w:b w:val="0"/>
          <w:spacing w:val="-4"/>
          <w:sz w:val="28"/>
          <w:szCs w:val="28"/>
          <w:highlight w:val="none"/>
        </w:rPr>
        <w:instrText xml:space="preserve"> </w:instrText>
      </w:r>
      <w:r>
        <w:rPr>
          <w:rStyle w:val="16"/>
          <w:rFonts w:hint="eastAsia" w:ascii="仿宋_GB2312" w:hAnsi="楷体" w:eastAsia="仿宋_GB2312"/>
          <w:b w:val="0"/>
          <w:spacing w:val="-4"/>
          <w:sz w:val="28"/>
          <w:szCs w:val="28"/>
          <w:highlight w:val="none"/>
        </w:rPr>
        <w:instrText xml:space="preserve">= 2 \* GB3</w:instrText>
      </w:r>
      <w:r>
        <w:rPr>
          <w:rStyle w:val="16"/>
          <w:rFonts w:ascii="仿宋_GB2312" w:hAnsi="楷体" w:eastAsia="仿宋_GB2312"/>
          <w:b w:val="0"/>
          <w:spacing w:val="-4"/>
          <w:sz w:val="28"/>
          <w:szCs w:val="28"/>
          <w:highlight w:val="none"/>
        </w:rPr>
        <w:instrText xml:space="preserve"> </w:instrText>
      </w:r>
      <w:r>
        <w:rPr>
          <w:rStyle w:val="16"/>
          <w:rFonts w:ascii="仿宋_GB2312" w:hAnsi="楷体" w:eastAsia="仿宋_GB2312"/>
          <w:b w:val="0"/>
          <w:spacing w:val="-4"/>
          <w:sz w:val="28"/>
          <w:szCs w:val="28"/>
          <w:highlight w:val="none"/>
        </w:rPr>
        <w:fldChar w:fldCharType="separate"/>
      </w:r>
      <w:r>
        <w:rPr>
          <w:rStyle w:val="16"/>
          <w:rFonts w:hint="eastAsia" w:ascii="仿宋_GB2312" w:hAnsi="楷体" w:eastAsia="仿宋_GB2312"/>
          <w:b w:val="0"/>
          <w:spacing w:val="-4"/>
          <w:sz w:val="28"/>
          <w:szCs w:val="28"/>
          <w:highlight w:val="none"/>
        </w:rPr>
        <w:t>②</w:t>
      </w:r>
      <w:r>
        <w:rPr>
          <w:rStyle w:val="16"/>
          <w:rFonts w:ascii="仿宋_GB2312" w:hAnsi="楷体" w:eastAsia="仿宋_GB2312"/>
          <w:b w:val="0"/>
          <w:spacing w:val="-4"/>
          <w:sz w:val="28"/>
          <w:szCs w:val="28"/>
          <w:highlight w:val="none"/>
        </w:rPr>
        <w:fldChar w:fldCharType="end"/>
      </w:r>
      <w:r>
        <w:rPr>
          <w:rStyle w:val="16"/>
          <w:rFonts w:hint="eastAsia" w:ascii="仿宋_GB2312" w:hAnsi="楷体" w:eastAsia="仿宋_GB2312"/>
          <w:b w:val="0"/>
          <w:spacing w:val="-4"/>
          <w:sz w:val="28"/>
          <w:szCs w:val="28"/>
          <w:highlight w:val="none"/>
        </w:rPr>
        <w:t>项目支出</w:t>
      </w:r>
      <w:r>
        <w:rPr>
          <w:rStyle w:val="16"/>
          <w:rFonts w:hint="eastAsia" w:ascii="仿宋_GB2312" w:hAnsi="楷体" w:eastAsia="仿宋_GB2312"/>
          <w:b w:val="0"/>
          <w:spacing w:val="-4"/>
          <w:sz w:val="28"/>
          <w:szCs w:val="28"/>
          <w:highlight w:val="none"/>
          <w:lang w:val="en-US" w:eastAsia="zh-CN"/>
        </w:rPr>
        <w:t>149.45</w:t>
      </w:r>
      <w:r>
        <w:rPr>
          <w:rStyle w:val="16"/>
          <w:rFonts w:hint="eastAsia" w:ascii="仿宋_GB2312" w:hAnsi="楷体" w:eastAsia="仿宋_GB2312"/>
          <w:b w:val="0"/>
          <w:spacing w:val="-4"/>
          <w:sz w:val="28"/>
          <w:szCs w:val="28"/>
          <w:highlight w:val="none"/>
        </w:rPr>
        <w:t>万元</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rPr>
        <w:t>其中：</w:t>
      </w:r>
      <w:r>
        <w:rPr>
          <w:rStyle w:val="16"/>
          <w:rFonts w:hint="eastAsia" w:ascii="仿宋_GB2312" w:hAnsi="楷体" w:eastAsia="仿宋_GB2312"/>
          <w:b w:val="0"/>
          <w:spacing w:val="-4"/>
          <w:sz w:val="28"/>
          <w:szCs w:val="28"/>
          <w:highlight w:val="none"/>
          <w:lang w:val="en-US" w:eastAsia="zh-CN"/>
        </w:rPr>
        <w:t>公共卫生</w:t>
      </w:r>
      <w:r>
        <w:rPr>
          <w:rStyle w:val="16"/>
          <w:rFonts w:hint="eastAsia" w:ascii="仿宋_GB2312" w:hAnsi="楷体" w:eastAsia="仿宋_GB2312"/>
          <w:b w:val="0"/>
          <w:spacing w:val="-4"/>
          <w:sz w:val="28"/>
          <w:szCs w:val="28"/>
          <w:highlight w:val="none"/>
        </w:rPr>
        <w:t>项目安排</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lang w:val="en-US" w:eastAsia="zh-CN"/>
        </w:rPr>
        <w:t>基本药物补助、全民体检资金</w:t>
      </w:r>
      <w:r>
        <w:rPr>
          <w:rStyle w:val="16"/>
          <w:rFonts w:hint="eastAsia" w:ascii="仿宋_GB2312" w:hAnsi="楷体" w:eastAsia="仿宋_GB2312"/>
          <w:b w:val="0"/>
          <w:spacing w:val="-4"/>
          <w:sz w:val="28"/>
          <w:szCs w:val="28"/>
          <w:highlight w:val="none"/>
          <w:lang w:eastAsia="zh-CN"/>
        </w:rPr>
        <w:t>。</w:t>
      </w:r>
    </w:p>
    <w:p>
      <w:pPr>
        <w:pStyle w:val="3"/>
        <w:spacing w:line="360" w:lineRule="auto"/>
        <w:rPr>
          <w:rFonts w:ascii="仿宋" w:hAnsi="仿宋" w:eastAsia="仿宋"/>
          <w:color w:val="auto"/>
          <w:sz w:val="36"/>
          <w:szCs w:val="36"/>
          <w:lang w:bidi="ar"/>
        </w:rPr>
      </w:pPr>
      <w:r>
        <w:rPr>
          <w:rFonts w:hint="eastAsia" w:ascii="仿宋" w:hAnsi="仿宋" w:eastAsia="仿宋"/>
          <w:color w:val="auto"/>
          <w:sz w:val="36"/>
          <w:szCs w:val="36"/>
          <w:lang w:bidi="ar"/>
        </w:rPr>
        <w:t>二、部门单位整体支出管理及使用情况</w:t>
      </w:r>
      <w:bookmarkEnd w:id="10"/>
    </w:p>
    <w:p>
      <w:pPr>
        <w:pStyle w:val="4"/>
        <w:spacing w:line="360" w:lineRule="auto"/>
        <w:rPr>
          <w:rStyle w:val="16"/>
          <w:rFonts w:ascii="仿宋" w:hAnsi="仿宋" w:eastAsia="仿宋"/>
          <w:b/>
          <w:bCs/>
          <w:color w:val="auto"/>
        </w:rPr>
      </w:pPr>
      <w:bookmarkStart w:id="11" w:name="_Toc70450298"/>
      <w:r>
        <w:rPr>
          <w:rStyle w:val="16"/>
          <w:rFonts w:hint="eastAsia" w:ascii="仿宋" w:hAnsi="仿宋" w:eastAsia="仿宋"/>
          <w:b/>
          <w:bCs/>
          <w:color w:val="auto"/>
        </w:rPr>
        <w:t>（一）预算管理</w:t>
      </w:r>
      <w:bookmarkEnd w:id="11"/>
    </w:p>
    <w:p>
      <w:pPr>
        <w:pStyle w:val="5"/>
        <w:spacing w:line="360" w:lineRule="auto"/>
        <w:ind w:firstLine="562" w:firstLineChars="200"/>
        <w:rPr>
          <w:rStyle w:val="16"/>
          <w:rFonts w:ascii="仿宋" w:hAnsi="仿宋" w:eastAsia="仿宋"/>
          <w:b/>
          <w:bCs/>
          <w:color w:val="auto"/>
        </w:rPr>
      </w:pPr>
      <w:bookmarkStart w:id="12" w:name="_Toc70450299"/>
      <w:r>
        <w:rPr>
          <w:rStyle w:val="16"/>
          <w:rFonts w:ascii="仿宋" w:hAnsi="仿宋" w:eastAsia="仿宋"/>
          <w:b/>
          <w:bCs/>
          <w:color w:val="auto"/>
        </w:rPr>
        <w:t>1</w:t>
      </w:r>
      <w:r>
        <w:rPr>
          <w:rStyle w:val="16"/>
          <w:rFonts w:hint="eastAsia" w:ascii="仿宋" w:hAnsi="仿宋" w:eastAsia="仿宋"/>
          <w:b/>
          <w:bCs/>
          <w:color w:val="auto"/>
        </w:rPr>
        <w:t>、预算编制管理</w:t>
      </w:r>
      <w:bookmarkEnd w:id="12"/>
    </w:p>
    <w:p>
      <w:pPr>
        <w:spacing w:line="360" w:lineRule="auto"/>
        <w:ind w:firstLine="506" w:firstLineChars="181"/>
        <w:rPr>
          <w:rStyle w:val="16"/>
          <w:rFonts w:hint="eastAsia" w:eastAsia="仿宋_GB2312" w:asciiTheme="minorEastAsia" w:hAnsiTheme="minorEastAsia"/>
          <w:color w:val="auto"/>
          <w:spacing w:val="-4"/>
          <w:sz w:val="28"/>
          <w:szCs w:val="28"/>
          <w:lang w:eastAsia="zh-CN"/>
        </w:rPr>
      </w:pPr>
      <w:r>
        <w:rPr>
          <w:rFonts w:hint="eastAsia" w:ascii="仿宋_GB2312" w:eastAsia="仿宋_GB2312"/>
          <w:color w:val="auto"/>
          <w:sz w:val="28"/>
          <w:szCs w:val="36"/>
        </w:rPr>
        <w:t>我</w:t>
      </w:r>
      <w:r>
        <w:rPr>
          <w:rStyle w:val="16"/>
          <w:rFonts w:hint="eastAsia" w:ascii="仿宋_GB2312" w:hAnsi="楷体" w:eastAsia="仿宋_GB2312"/>
          <w:b w:val="0"/>
          <w:color w:val="auto"/>
          <w:spacing w:val="-4"/>
          <w:sz w:val="28"/>
          <w:szCs w:val="28"/>
        </w:rPr>
        <w:t>单位</w:t>
      </w:r>
      <w:r>
        <w:rPr>
          <w:rFonts w:hint="eastAsia" w:ascii="仿宋_GB2312" w:eastAsia="仿宋_GB2312"/>
          <w:color w:val="auto"/>
          <w:sz w:val="28"/>
          <w:szCs w:val="36"/>
        </w:rPr>
        <w:t>严格按照财政部门预算编制与预算调整的工作要求，在预算编制、分配依据充分的条件下，切实做好“先定目标再编预算”，确保预算分配结果合理。同时按照</w:t>
      </w:r>
      <w:r>
        <w:rPr>
          <w:rFonts w:hint="eastAsia" w:ascii="仿宋_GB2312" w:eastAsia="仿宋_GB2312"/>
          <w:color w:val="auto"/>
          <w:sz w:val="28"/>
          <w:szCs w:val="36"/>
          <w:lang w:val="en-US" w:eastAsia="zh-CN"/>
        </w:rPr>
        <w:t>财政局</w:t>
      </w:r>
      <w:r>
        <w:rPr>
          <w:rFonts w:hint="eastAsia" w:ascii="仿宋_GB2312" w:eastAsia="仿宋_GB2312"/>
          <w:color w:val="auto"/>
          <w:sz w:val="28"/>
          <w:szCs w:val="36"/>
        </w:rPr>
        <w:t>要求，部门预算及绩效目标在</w:t>
      </w:r>
      <w:r>
        <w:rPr>
          <w:rFonts w:hint="eastAsia" w:ascii="仿宋_GB2312" w:eastAsia="仿宋_GB2312"/>
          <w:color w:val="auto"/>
          <w:sz w:val="28"/>
          <w:szCs w:val="36"/>
          <w:lang w:val="en-US" w:eastAsia="zh-CN"/>
        </w:rPr>
        <w:t>特克斯县政务公开网</w:t>
      </w:r>
      <w:r>
        <w:rPr>
          <w:rFonts w:hint="eastAsia" w:ascii="仿宋_GB2312" w:eastAsia="仿宋_GB2312"/>
          <w:color w:val="auto"/>
          <w:sz w:val="28"/>
          <w:szCs w:val="36"/>
        </w:rPr>
        <w:t>公开，</w:t>
      </w:r>
      <w:r>
        <w:rPr>
          <w:rFonts w:ascii="仿宋_GB2312" w:eastAsia="仿宋_GB2312"/>
          <w:color w:val="auto"/>
          <w:sz w:val="28"/>
          <w:szCs w:val="36"/>
          <w:lang w:val="zh-CN"/>
        </w:rPr>
        <w:t>广泛接受社会监督</w:t>
      </w:r>
      <w:r>
        <w:rPr>
          <w:rStyle w:val="16"/>
          <w:rFonts w:hint="eastAsia" w:eastAsia="仿宋_GB2312" w:asciiTheme="minorEastAsia" w:hAnsiTheme="minorEastAsia"/>
          <w:color w:val="auto"/>
          <w:spacing w:val="-4"/>
          <w:sz w:val="28"/>
          <w:szCs w:val="28"/>
          <w:lang w:eastAsia="zh-CN"/>
        </w:rPr>
        <w:t>。</w:t>
      </w:r>
    </w:p>
    <w:p>
      <w:pPr>
        <w:pStyle w:val="5"/>
        <w:spacing w:line="360" w:lineRule="auto"/>
        <w:ind w:firstLine="562" w:firstLineChars="200"/>
        <w:rPr>
          <w:rStyle w:val="16"/>
          <w:rFonts w:ascii="仿宋" w:hAnsi="仿宋" w:eastAsia="仿宋"/>
          <w:b/>
          <w:bCs/>
          <w:color w:val="auto"/>
        </w:rPr>
      </w:pPr>
      <w:bookmarkStart w:id="13" w:name="_Toc70450300"/>
      <w:r>
        <w:rPr>
          <w:rStyle w:val="16"/>
          <w:rFonts w:hint="eastAsia" w:ascii="仿宋" w:hAnsi="仿宋" w:eastAsia="仿宋"/>
          <w:b/>
          <w:bCs/>
          <w:color w:val="auto"/>
        </w:rPr>
        <w:t>2</w:t>
      </w:r>
      <w:r>
        <w:rPr>
          <w:rStyle w:val="16"/>
          <w:rFonts w:ascii="仿宋" w:hAnsi="仿宋" w:eastAsia="仿宋"/>
          <w:b/>
          <w:bCs/>
          <w:color w:val="auto"/>
        </w:rPr>
        <w:t>、预算</w:t>
      </w:r>
      <w:r>
        <w:rPr>
          <w:rStyle w:val="16"/>
          <w:rFonts w:hint="eastAsia" w:ascii="仿宋" w:hAnsi="仿宋" w:eastAsia="仿宋"/>
          <w:b/>
          <w:bCs/>
          <w:color w:val="auto"/>
        </w:rPr>
        <w:t>支出</w:t>
      </w:r>
      <w:r>
        <w:rPr>
          <w:rStyle w:val="16"/>
          <w:rFonts w:ascii="仿宋" w:hAnsi="仿宋" w:eastAsia="仿宋"/>
          <w:b/>
          <w:bCs/>
          <w:color w:val="auto"/>
        </w:rPr>
        <w:t>管理</w:t>
      </w:r>
      <w:bookmarkEnd w:id="13"/>
    </w:p>
    <w:p>
      <w:pPr>
        <w:spacing w:line="360" w:lineRule="auto"/>
        <w:ind w:firstLine="560" w:firstLineChars="200"/>
        <w:rPr>
          <w:rStyle w:val="16"/>
          <w:b w:val="0"/>
          <w:bCs w:val="0"/>
          <w:color w:val="auto"/>
        </w:rPr>
      </w:pPr>
      <w:r>
        <w:rPr>
          <w:rFonts w:hint="eastAsia" w:ascii="仿宋_GB2312" w:eastAsia="仿宋_GB2312"/>
          <w:color w:val="auto"/>
          <w:sz w:val="28"/>
          <w:szCs w:val="36"/>
        </w:rPr>
        <w:t>我</w:t>
      </w:r>
      <w:r>
        <w:rPr>
          <w:rStyle w:val="16"/>
          <w:rFonts w:hint="eastAsia" w:ascii="仿宋_GB2312" w:hAnsi="楷体" w:eastAsia="仿宋_GB2312"/>
          <w:b w:val="0"/>
          <w:color w:val="auto"/>
          <w:spacing w:val="-4"/>
          <w:sz w:val="28"/>
          <w:szCs w:val="28"/>
        </w:rPr>
        <w:t>单位</w:t>
      </w:r>
      <w:r>
        <w:rPr>
          <w:rFonts w:hint="eastAsia" w:ascii="仿宋_GB2312" w:eastAsia="仿宋_GB2312"/>
          <w:color w:val="auto"/>
          <w:sz w:val="28"/>
          <w:szCs w:val="36"/>
        </w:rPr>
        <w:t>按照财政要求基本支出分月度申报资金使用计划，由财政部门按照进度每月按期拨付，人员支出按照工资计划发放工资；依照</w:t>
      </w:r>
      <w:r>
        <w:rPr>
          <w:rFonts w:hint="eastAsia" w:ascii="仿宋_GB2312" w:eastAsia="仿宋_GB2312"/>
          <w:color w:val="auto"/>
          <w:sz w:val="28"/>
          <w:szCs w:val="36"/>
          <w:lang w:val="en-US" w:eastAsia="zh-CN"/>
        </w:rPr>
        <w:t>财政</w:t>
      </w:r>
      <w:r>
        <w:rPr>
          <w:rFonts w:hint="eastAsia" w:ascii="仿宋_GB2312" w:eastAsia="仿宋_GB2312"/>
          <w:b w:val="0"/>
          <w:bCs w:val="0"/>
          <w:color w:val="auto"/>
          <w:sz w:val="28"/>
          <w:szCs w:val="36"/>
        </w:rPr>
        <w:t>部门</w:t>
      </w:r>
      <w:r>
        <w:rPr>
          <w:rFonts w:hint="eastAsia" w:ascii="仿宋_GB2312" w:eastAsia="仿宋_GB2312"/>
          <w:b w:val="0"/>
          <w:bCs w:val="0"/>
          <w:color w:val="auto"/>
          <w:sz w:val="28"/>
          <w:szCs w:val="36"/>
          <w:lang w:val="en-US" w:eastAsia="zh-CN"/>
        </w:rPr>
        <w:t>特克斯县财政局</w:t>
      </w:r>
      <w:r>
        <w:rPr>
          <w:rFonts w:hint="eastAsia" w:ascii="仿宋_GB2312" w:eastAsia="仿宋_GB2312"/>
          <w:color w:val="auto"/>
          <w:sz w:val="28"/>
          <w:szCs w:val="36"/>
        </w:rPr>
        <w:t>相关规定和</w:t>
      </w:r>
      <w:r>
        <w:rPr>
          <w:rFonts w:hint="eastAsia" w:ascii="仿宋_GB2312" w:eastAsia="仿宋_GB2312"/>
          <w:color w:val="auto"/>
          <w:sz w:val="28"/>
          <w:szCs w:val="36"/>
          <w:lang w:val="en-US" w:eastAsia="zh-CN"/>
        </w:rPr>
        <w:t>本</w:t>
      </w:r>
      <w:r>
        <w:rPr>
          <w:rFonts w:hint="eastAsia" w:ascii="仿宋_GB2312" w:eastAsia="仿宋_GB2312"/>
          <w:b w:val="0"/>
          <w:bCs w:val="0"/>
          <w:color w:val="auto"/>
          <w:sz w:val="28"/>
          <w:szCs w:val="36"/>
        </w:rPr>
        <w:t>单位</w:t>
      </w:r>
      <w:r>
        <w:rPr>
          <w:rFonts w:hint="eastAsia" w:ascii="仿宋_GB2312" w:eastAsia="仿宋_GB2312"/>
          <w:color w:val="auto"/>
          <w:sz w:val="28"/>
          <w:szCs w:val="36"/>
        </w:rPr>
        <w:t>《行政单位财务规则</w:t>
      </w:r>
      <w:r>
        <w:rPr>
          <w:rFonts w:hint="eastAsia" w:ascii="仿宋_GB2312" w:eastAsia="仿宋_GB2312"/>
          <w:color w:val="auto"/>
          <w:sz w:val="28"/>
          <w:szCs w:val="36"/>
        </w:rPr>
        <w:t>》规定流程，资金支出按照我内控体系中设定的流程申报审批进行；项目支出属于政府采购的，按照</w:t>
      </w:r>
      <w:r>
        <w:rPr>
          <w:rFonts w:hint="eastAsia" w:ascii="仿宋_GB2312" w:eastAsia="仿宋_GB2312"/>
          <w:color w:val="auto"/>
          <w:sz w:val="28"/>
          <w:szCs w:val="36"/>
          <w:lang w:val="en-US" w:eastAsia="zh-CN"/>
        </w:rPr>
        <w:t>单位</w:t>
      </w:r>
      <w:r>
        <w:rPr>
          <w:rFonts w:hint="eastAsia" w:ascii="仿宋_GB2312" w:eastAsia="仿宋_GB2312"/>
          <w:color w:val="auto"/>
          <w:sz w:val="28"/>
          <w:szCs w:val="36"/>
        </w:rPr>
        <w:t>《采购与招标管理办法》组织人员制定采购计划，按照财政局采购部门批复，进行公开招标、邀请招标等方式进行；属于非政府采购的项目，按照“三重一大”制度规定，重大项目支出上党组会研究决定。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b/>
          <w:bCs/>
          <w:color w:val="auto"/>
          <w:sz w:val="28"/>
          <w:szCs w:val="28"/>
        </w:rPr>
      </w:pPr>
      <w:bookmarkStart w:id="14" w:name="_Toc70450301"/>
      <w:r>
        <w:rPr>
          <w:rStyle w:val="16"/>
          <w:rFonts w:hint="eastAsia"/>
          <w:b/>
          <w:bCs/>
          <w:color w:val="auto"/>
          <w:sz w:val="28"/>
          <w:szCs w:val="28"/>
        </w:rPr>
        <w:t>（二）基本支出管理及使用情况</w:t>
      </w:r>
      <w:bookmarkEnd w:id="14"/>
    </w:p>
    <w:p>
      <w:pPr>
        <w:spacing w:line="360" w:lineRule="auto"/>
        <w:ind w:firstLine="544" w:firstLineChars="200"/>
        <w:rPr>
          <w:rStyle w:val="16"/>
          <w:rFonts w:hint="eastAsia" w:ascii="仿宋_GB2312" w:eastAsia="仿宋_GB2312"/>
          <w:b w:val="0"/>
          <w:bCs w:val="0"/>
          <w:color w:val="auto"/>
          <w:sz w:val="28"/>
          <w:szCs w:val="36"/>
          <w:lang w:eastAsia="zh-CN"/>
        </w:rPr>
      </w:pPr>
      <w:r>
        <w:rPr>
          <w:rStyle w:val="16"/>
          <w:rFonts w:hint="eastAsia" w:ascii="仿宋_GB2312" w:hAnsi="楷体" w:eastAsia="仿宋_GB2312"/>
          <w:b w:val="0"/>
          <w:color w:val="auto"/>
          <w:spacing w:val="-4"/>
          <w:sz w:val="28"/>
          <w:szCs w:val="28"/>
        </w:rPr>
        <w:t>2021年基本支出预算安排</w:t>
      </w:r>
      <w:r>
        <w:rPr>
          <w:rStyle w:val="16"/>
          <w:rFonts w:hint="eastAsia" w:ascii="仿宋_GB2312" w:hAnsi="楷体" w:eastAsia="仿宋_GB2312"/>
          <w:b w:val="0"/>
          <w:color w:val="auto"/>
          <w:spacing w:val="-4"/>
          <w:sz w:val="28"/>
          <w:szCs w:val="28"/>
          <w:lang w:val="en-US" w:eastAsia="zh-CN"/>
        </w:rPr>
        <w:t>358.25</w:t>
      </w:r>
      <w:r>
        <w:rPr>
          <w:rStyle w:val="16"/>
          <w:rFonts w:hint="eastAsia" w:ascii="仿宋_GB2312" w:hAnsi="楷体" w:eastAsia="仿宋_GB2312"/>
          <w:b w:val="0"/>
          <w:color w:val="auto"/>
          <w:spacing w:val="-4"/>
          <w:sz w:val="28"/>
          <w:szCs w:val="28"/>
        </w:rPr>
        <w:t>万元，实际到位</w:t>
      </w:r>
      <w:r>
        <w:rPr>
          <w:rStyle w:val="16"/>
          <w:rFonts w:hint="eastAsia" w:ascii="仿宋_GB2312" w:hAnsi="楷体" w:eastAsia="仿宋_GB2312"/>
          <w:b w:val="0"/>
          <w:color w:val="auto"/>
          <w:spacing w:val="-4"/>
          <w:sz w:val="28"/>
          <w:szCs w:val="28"/>
          <w:lang w:val="en-US" w:eastAsia="zh-CN"/>
        </w:rPr>
        <w:t>358.25</w:t>
      </w:r>
      <w:r>
        <w:rPr>
          <w:rStyle w:val="16"/>
          <w:rFonts w:hint="eastAsia" w:ascii="仿宋_GB2312" w:hAnsi="楷体" w:eastAsia="仿宋_GB2312"/>
          <w:b w:val="0"/>
          <w:color w:val="auto"/>
          <w:spacing w:val="-4"/>
          <w:sz w:val="28"/>
          <w:szCs w:val="28"/>
        </w:rPr>
        <w:t>万元,实际支出</w:t>
      </w:r>
      <w:r>
        <w:rPr>
          <w:rStyle w:val="16"/>
          <w:rFonts w:hint="eastAsia" w:ascii="仿宋_GB2312" w:hAnsi="楷体" w:eastAsia="仿宋_GB2312"/>
          <w:b w:val="0"/>
          <w:color w:val="auto"/>
          <w:spacing w:val="-4"/>
          <w:sz w:val="28"/>
          <w:szCs w:val="28"/>
          <w:lang w:val="en-US" w:eastAsia="zh-CN"/>
        </w:rPr>
        <w:t>358.25</w:t>
      </w:r>
      <w:r>
        <w:rPr>
          <w:rStyle w:val="16"/>
          <w:rFonts w:hint="eastAsia" w:ascii="仿宋_GB2312" w:hAnsi="楷体" w:eastAsia="仿宋_GB2312"/>
          <w:b w:val="0"/>
          <w:color w:val="auto"/>
          <w:spacing w:val="-4"/>
          <w:sz w:val="28"/>
          <w:szCs w:val="28"/>
        </w:rPr>
        <w:t>万元，占总支出的</w:t>
      </w:r>
      <w:r>
        <w:rPr>
          <w:rStyle w:val="16"/>
          <w:rFonts w:hint="eastAsia" w:ascii="仿宋_GB2312" w:hAnsi="楷体" w:eastAsia="仿宋_GB2312"/>
          <w:b w:val="0"/>
          <w:color w:val="auto"/>
          <w:spacing w:val="-4"/>
          <w:sz w:val="28"/>
          <w:szCs w:val="28"/>
          <w:lang w:val="en-US" w:eastAsia="zh-CN"/>
        </w:rPr>
        <w:t>70.56</w:t>
      </w:r>
      <w:r>
        <w:rPr>
          <w:rStyle w:val="16"/>
          <w:rFonts w:hint="eastAsia" w:ascii="仿宋_GB2312" w:hAnsi="楷体" w:eastAsia="仿宋_GB2312"/>
          <w:b w:val="0"/>
          <w:color w:val="auto"/>
          <w:spacing w:val="-4"/>
          <w:sz w:val="28"/>
          <w:szCs w:val="28"/>
        </w:rPr>
        <w:t>％，其中：工资福利支出</w:t>
      </w:r>
      <w:r>
        <w:rPr>
          <w:rStyle w:val="16"/>
          <w:rFonts w:hint="eastAsia" w:ascii="仿宋_GB2312" w:hAnsi="楷体" w:eastAsia="仿宋_GB2312"/>
          <w:b w:val="0"/>
          <w:color w:val="auto"/>
          <w:spacing w:val="-4"/>
          <w:sz w:val="28"/>
          <w:szCs w:val="28"/>
          <w:lang w:val="en-US" w:eastAsia="zh-CN"/>
        </w:rPr>
        <w:t>341.21</w:t>
      </w:r>
      <w:r>
        <w:rPr>
          <w:rStyle w:val="16"/>
          <w:rFonts w:hint="eastAsia" w:ascii="仿宋_GB2312" w:hAnsi="楷体" w:eastAsia="仿宋_GB2312"/>
          <w:b w:val="0"/>
          <w:color w:val="auto"/>
          <w:spacing w:val="-4"/>
          <w:sz w:val="28"/>
          <w:szCs w:val="28"/>
        </w:rPr>
        <w:t>万元，主要用于在职和离退休人员基本工资、津贴补贴等人员经费。商品和服务支出11.60万元，主要用于办公费、印刷费、水电费、办公设备购置等。对个人和家庭的补助</w:t>
      </w:r>
      <w:r>
        <w:rPr>
          <w:rStyle w:val="16"/>
          <w:rFonts w:hint="eastAsia" w:ascii="仿宋_GB2312" w:hAnsi="楷体" w:eastAsia="仿宋_GB2312"/>
          <w:b w:val="0"/>
          <w:color w:val="auto"/>
          <w:spacing w:val="-4"/>
          <w:sz w:val="28"/>
          <w:szCs w:val="28"/>
          <w:lang w:val="en-US" w:eastAsia="zh-CN"/>
        </w:rPr>
        <w:t>5.44</w:t>
      </w:r>
      <w:r>
        <w:rPr>
          <w:rStyle w:val="16"/>
          <w:rFonts w:hint="eastAsia" w:ascii="仿宋_GB2312" w:hAnsi="楷体" w:eastAsia="仿宋_GB2312"/>
          <w:b w:val="0"/>
          <w:color w:val="auto"/>
          <w:spacing w:val="-4"/>
          <w:sz w:val="28"/>
          <w:szCs w:val="28"/>
        </w:rPr>
        <w:t>万元</w:t>
      </w:r>
      <w:r>
        <w:rPr>
          <w:rStyle w:val="16"/>
          <w:rFonts w:hint="eastAsia" w:ascii="仿宋_GB2312" w:hAnsi="楷体" w:eastAsia="仿宋_GB2312"/>
          <w:b w:val="0"/>
          <w:color w:val="auto"/>
          <w:spacing w:val="-4"/>
          <w:sz w:val="28"/>
          <w:szCs w:val="28"/>
          <w:lang w:eastAsia="zh-CN"/>
        </w:rPr>
        <w:t>。</w:t>
      </w:r>
    </w:p>
    <w:p>
      <w:pPr>
        <w:spacing w:line="360" w:lineRule="auto"/>
        <w:ind w:firstLine="544" w:firstLineChars="200"/>
        <w:rPr>
          <w:rStyle w:val="16"/>
          <w:rFonts w:hint="eastAsia" w:ascii="仿宋_GB2312" w:hAnsi="楷体" w:eastAsia="仿宋_GB2312" w:cs="Times New Roman"/>
          <w:b w:val="0"/>
          <w:color w:val="auto"/>
          <w:spacing w:val="-4"/>
          <w:sz w:val="28"/>
          <w:szCs w:val="28"/>
        </w:rPr>
      </w:pPr>
      <w:r>
        <w:rPr>
          <w:rStyle w:val="16"/>
          <w:rFonts w:hint="eastAsia" w:ascii="仿宋_GB2312" w:hAnsi="楷体" w:eastAsia="仿宋_GB2312" w:cs="Times New Roman"/>
          <w:b w:val="0"/>
          <w:color w:val="auto"/>
          <w:spacing w:val="-4"/>
          <w:sz w:val="28"/>
          <w:szCs w:val="28"/>
        </w:rPr>
        <w:t>2021年基本支出比上年</w:t>
      </w:r>
      <w:r>
        <w:rPr>
          <w:rStyle w:val="16"/>
          <w:rFonts w:hint="eastAsia" w:ascii="仿宋_GB2312" w:hAnsi="楷体" w:eastAsia="仿宋_GB2312" w:cs="Times New Roman"/>
          <w:b w:val="0"/>
          <w:color w:val="auto"/>
          <w:spacing w:val="-4"/>
          <w:sz w:val="28"/>
          <w:szCs w:val="28"/>
          <w:lang w:val="en-US" w:eastAsia="zh-CN"/>
        </w:rPr>
        <w:t>369.12</w:t>
      </w:r>
      <w:r>
        <w:rPr>
          <w:rStyle w:val="16"/>
          <w:rFonts w:hint="eastAsia" w:ascii="仿宋_GB2312" w:hAnsi="楷体" w:eastAsia="仿宋_GB2312" w:cs="Times New Roman"/>
          <w:b w:val="0"/>
          <w:color w:val="auto"/>
          <w:spacing w:val="-4"/>
          <w:sz w:val="28"/>
          <w:szCs w:val="28"/>
        </w:rPr>
        <w:t>万元,减少</w:t>
      </w:r>
      <w:r>
        <w:rPr>
          <w:rStyle w:val="16"/>
          <w:rFonts w:hint="eastAsia" w:ascii="仿宋_GB2312" w:hAnsi="楷体" w:eastAsia="仿宋_GB2312" w:cs="Times New Roman"/>
          <w:b w:val="0"/>
          <w:color w:val="auto"/>
          <w:spacing w:val="-4"/>
          <w:sz w:val="28"/>
          <w:szCs w:val="28"/>
          <w:lang w:val="en-US" w:eastAsia="zh-CN"/>
        </w:rPr>
        <w:t>10.87</w:t>
      </w:r>
      <w:r>
        <w:rPr>
          <w:rStyle w:val="16"/>
          <w:rFonts w:hint="eastAsia" w:ascii="仿宋_GB2312" w:hAnsi="楷体" w:eastAsia="仿宋_GB2312" w:cs="Times New Roman"/>
          <w:b w:val="0"/>
          <w:color w:val="auto"/>
          <w:spacing w:val="-4"/>
          <w:sz w:val="28"/>
          <w:szCs w:val="28"/>
        </w:rPr>
        <w:t xml:space="preserve">万元，下降 </w:t>
      </w:r>
      <w:r>
        <w:rPr>
          <w:rStyle w:val="16"/>
          <w:rFonts w:hint="eastAsia" w:ascii="仿宋_GB2312" w:hAnsi="楷体" w:eastAsia="仿宋_GB2312" w:cs="Times New Roman"/>
          <w:b w:val="0"/>
          <w:color w:val="auto"/>
          <w:spacing w:val="-4"/>
          <w:sz w:val="28"/>
          <w:szCs w:val="28"/>
          <w:lang w:val="en-US" w:eastAsia="zh-CN"/>
        </w:rPr>
        <w:t>2.94</w:t>
      </w:r>
      <w:r>
        <w:rPr>
          <w:rStyle w:val="16"/>
          <w:rFonts w:hint="eastAsia" w:ascii="仿宋_GB2312" w:hAnsi="楷体" w:eastAsia="仿宋_GB2312" w:cs="Times New Roman"/>
          <w:b w:val="0"/>
          <w:color w:val="auto"/>
          <w:spacing w:val="-4"/>
          <w:sz w:val="28"/>
          <w:szCs w:val="28"/>
        </w:rPr>
        <w:t>%，支出减少的主要原因是</w:t>
      </w:r>
      <w:r>
        <w:rPr>
          <w:rStyle w:val="16"/>
          <w:rFonts w:hint="eastAsia" w:ascii="仿宋_GB2312" w:hAnsi="楷体" w:eastAsia="仿宋_GB2312" w:cs="Times New Roman"/>
          <w:b w:val="0"/>
          <w:color w:val="auto"/>
          <w:spacing w:val="-4"/>
          <w:sz w:val="28"/>
          <w:szCs w:val="28"/>
          <w:lang w:val="en-US" w:eastAsia="zh-CN"/>
        </w:rPr>
        <w:t>2</w:t>
      </w:r>
      <w:r>
        <w:rPr>
          <w:rStyle w:val="16"/>
          <w:rFonts w:hint="eastAsia" w:ascii="仿宋_GB2312" w:hAnsi="楷体" w:eastAsia="仿宋_GB2312" w:cs="Times New Roman"/>
          <w:b w:val="0"/>
          <w:color w:val="auto"/>
          <w:spacing w:val="-4"/>
          <w:sz w:val="28"/>
          <w:szCs w:val="28"/>
        </w:rPr>
        <w:t>021 年度未安排公用经费，</w:t>
      </w:r>
      <w:r>
        <w:rPr>
          <w:rStyle w:val="16"/>
          <w:rFonts w:hint="eastAsia" w:ascii="仿宋_GB2312" w:hAnsi="楷体" w:eastAsia="仿宋_GB2312" w:cs="Times New Roman"/>
          <w:b w:val="0"/>
          <w:color w:val="auto"/>
          <w:spacing w:val="-4"/>
          <w:sz w:val="28"/>
          <w:szCs w:val="28"/>
          <w:lang w:eastAsia="zh-CN"/>
        </w:rPr>
        <w:t>上年度人员经费增加</w:t>
      </w:r>
      <w:r>
        <w:rPr>
          <w:rStyle w:val="16"/>
          <w:rFonts w:hint="eastAsia" w:ascii="仿宋_GB2312" w:hAnsi="楷体" w:eastAsia="仿宋_GB2312" w:cs="Times New Roman"/>
          <w:b w:val="0"/>
          <w:color w:val="auto"/>
          <w:spacing w:val="-4"/>
          <w:sz w:val="28"/>
          <w:szCs w:val="28"/>
        </w:rPr>
        <w:t>。</w:t>
      </w:r>
    </w:p>
    <w:p>
      <w:pPr>
        <w:spacing w:line="360" w:lineRule="auto"/>
        <w:ind w:firstLine="492" w:firstLineChars="181"/>
        <w:rPr>
          <w:rStyle w:val="16"/>
          <w:rFonts w:ascii="仿宋_GB2312" w:hAnsi="楷体" w:eastAsia="仿宋_GB2312"/>
          <w:b w:val="0"/>
          <w:color w:val="auto"/>
          <w:spacing w:val="-4"/>
          <w:sz w:val="28"/>
          <w:szCs w:val="28"/>
        </w:rPr>
      </w:pPr>
      <w:r>
        <w:rPr>
          <w:rStyle w:val="16"/>
          <w:rFonts w:ascii="仿宋_GB2312" w:hAnsi="楷体" w:eastAsia="仿宋_GB2312"/>
          <w:b w:val="0"/>
          <w:color w:val="auto"/>
          <w:spacing w:val="-4"/>
          <w:sz w:val="28"/>
          <w:szCs w:val="28"/>
        </w:rPr>
        <w:t>2021</w:t>
      </w:r>
      <w:r>
        <w:rPr>
          <w:rStyle w:val="16"/>
          <w:rFonts w:hint="eastAsia" w:ascii="仿宋_GB2312" w:hAnsi="楷体" w:eastAsia="仿宋_GB2312"/>
          <w:b w:val="0"/>
          <w:color w:val="auto"/>
          <w:spacing w:val="-4"/>
          <w:sz w:val="28"/>
          <w:szCs w:val="28"/>
        </w:rPr>
        <w:t>年一般公共预算“三公”经费数为</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万元，其中：因公出国（境）费</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万元，公务用车购置</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万元，公务用车运行费</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万元，公务接待费</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w:t>
      </w:r>
    </w:p>
    <w:p>
      <w:pPr>
        <w:spacing w:line="360" w:lineRule="auto"/>
        <w:ind w:firstLine="492" w:firstLineChars="181"/>
        <w:rPr>
          <w:rStyle w:val="16"/>
          <w:rFonts w:ascii="仿宋_GB2312" w:hAnsi="楷体" w:eastAsia="仿宋_GB2312"/>
          <w:b w:val="0"/>
          <w:color w:val="auto"/>
          <w:spacing w:val="-4"/>
          <w:sz w:val="28"/>
          <w:szCs w:val="28"/>
        </w:rPr>
      </w:pPr>
      <w:r>
        <w:rPr>
          <w:rStyle w:val="16"/>
          <w:rFonts w:ascii="仿宋_GB2312" w:hAnsi="楷体" w:eastAsia="仿宋_GB2312"/>
          <w:b w:val="0"/>
          <w:color w:val="auto"/>
          <w:spacing w:val="-4"/>
          <w:sz w:val="28"/>
          <w:szCs w:val="28"/>
        </w:rPr>
        <w:t>2021</w:t>
      </w:r>
      <w:r>
        <w:rPr>
          <w:rStyle w:val="16"/>
          <w:rFonts w:hint="eastAsia" w:ascii="仿宋_GB2312" w:hAnsi="楷体" w:eastAsia="仿宋_GB2312"/>
          <w:b w:val="0"/>
          <w:color w:val="auto"/>
          <w:spacing w:val="-4"/>
          <w:sz w:val="28"/>
          <w:szCs w:val="28"/>
        </w:rPr>
        <w:t>年一般公共预算“三公”经费比上年增加</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万元，其中：因公出国（境）费增加</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万元，主要原因是未安排预算 ；公务用车购置费为0，未安排预算。公务用车运行费增加</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万元，主要原因是未安排预算；公务接待费增加</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万元，主要原因是未安排预算。</w:t>
      </w:r>
    </w:p>
    <w:p>
      <w:pPr>
        <w:pStyle w:val="4"/>
        <w:spacing w:line="360" w:lineRule="auto"/>
        <w:rPr>
          <w:rStyle w:val="16"/>
          <w:rFonts w:ascii="仿宋" w:hAnsi="仿宋" w:eastAsia="仿宋"/>
          <w:b/>
          <w:bCs/>
          <w:color w:val="auto"/>
        </w:rPr>
      </w:pPr>
      <w:bookmarkStart w:id="15" w:name="_Toc70450302"/>
      <w:r>
        <w:rPr>
          <w:rStyle w:val="16"/>
          <w:rFonts w:hint="eastAsia" w:ascii="仿宋" w:hAnsi="仿宋" w:eastAsia="仿宋"/>
          <w:b/>
          <w:bCs/>
          <w:color w:val="auto"/>
        </w:rPr>
        <w:t>（三）专项支出管理及使用情况</w:t>
      </w:r>
      <w:bookmarkEnd w:id="15"/>
    </w:p>
    <w:p>
      <w:pPr>
        <w:pStyle w:val="5"/>
        <w:spacing w:line="360" w:lineRule="auto"/>
        <w:ind w:firstLine="562" w:firstLineChars="200"/>
        <w:rPr>
          <w:rStyle w:val="16"/>
          <w:rFonts w:ascii="仿宋" w:hAnsi="仿宋" w:eastAsia="仿宋"/>
          <w:b/>
          <w:bCs/>
          <w:color w:val="auto"/>
        </w:rPr>
      </w:pPr>
      <w:bookmarkStart w:id="16" w:name="_Toc70450303"/>
      <w:r>
        <w:rPr>
          <w:rStyle w:val="16"/>
          <w:rFonts w:hint="eastAsia" w:ascii="仿宋" w:hAnsi="仿宋" w:eastAsia="仿宋"/>
          <w:b/>
          <w:bCs/>
          <w:color w:val="auto"/>
        </w:rPr>
        <w:t>1、专项资金安排落实、总投入等情况分析</w:t>
      </w:r>
      <w:bookmarkEnd w:id="16"/>
    </w:p>
    <w:p>
      <w:pPr>
        <w:spacing w:line="360" w:lineRule="auto"/>
        <w:ind w:firstLine="492" w:firstLineChars="181"/>
        <w:rPr>
          <w:rStyle w:val="16"/>
          <w:rFonts w:ascii="仿宋_GB2312" w:hAnsi="楷体" w:eastAsia="仿宋_GB2312"/>
          <w:b w:val="0"/>
          <w:color w:val="auto"/>
          <w:spacing w:val="-4"/>
          <w:sz w:val="28"/>
          <w:szCs w:val="28"/>
        </w:rPr>
      </w:pPr>
      <w:r>
        <w:rPr>
          <w:rStyle w:val="16"/>
          <w:rFonts w:ascii="仿宋_GB2312" w:hAnsi="楷体" w:eastAsia="仿宋_GB2312"/>
          <w:b w:val="0"/>
          <w:color w:val="auto"/>
          <w:spacing w:val="-4"/>
          <w:sz w:val="28"/>
          <w:szCs w:val="28"/>
        </w:rPr>
        <w:t>2021</w:t>
      </w:r>
      <w:r>
        <w:rPr>
          <w:rStyle w:val="16"/>
          <w:rFonts w:hint="eastAsia" w:ascii="仿宋_GB2312" w:hAnsi="楷体" w:eastAsia="仿宋_GB2312"/>
          <w:b w:val="0"/>
          <w:color w:val="auto"/>
          <w:spacing w:val="-4"/>
          <w:sz w:val="28"/>
          <w:szCs w:val="28"/>
        </w:rPr>
        <w:t>年预算安排专项资</w:t>
      </w:r>
      <w:r>
        <w:rPr>
          <w:rStyle w:val="16"/>
          <w:rFonts w:hint="eastAsia" w:ascii="仿宋_GB2312" w:hAnsi="楷体" w:eastAsia="仿宋_GB2312"/>
          <w:b w:val="0"/>
          <w:color w:val="auto"/>
          <w:spacing w:val="-4"/>
          <w:sz w:val="28"/>
          <w:szCs w:val="28"/>
          <w:lang w:val="en-US" w:eastAsia="zh-CN"/>
        </w:rPr>
        <w:t>149.45</w:t>
      </w:r>
      <w:r>
        <w:rPr>
          <w:rStyle w:val="16"/>
          <w:rFonts w:hint="eastAsia" w:ascii="仿宋_GB2312" w:hAnsi="楷体" w:eastAsia="仿宋_GB2312"/>
          <w:b w:val="0"/>
          <w:color w:val="auto"/>
          <w:spacing w:val="-4"/>
          <w:sz w:val="28"/>
          <w:szCs w:val="28"/>
        </w:rPr>
        <w:t>万元，实际到位</w:t>
      </w:r>
      <w:r>
        <w:rPr>
          <w:rStyle w:val="16"/>
          <w:rFonts w:hint="eastAsia" w:ascii="仿宋_GB2312" w:hAnsi="楷体" w:eastAsia="仿宋_GB2312"/>
          <w:b w:val="0"/>
          <w:color w:val="auto"/>
          <w:spacing w:val="-4"/>
          <w:sz w:val="28"/>
          <w:szCs w:val="28"/>
          <w:lang w:val="en-US" w:eastAsia="zh-CN"/>
        </w:rPr>
        <w:t>149.45</w:t>
      </w:r>
      <w:r>
        <w:rPr>
          <w:rStyle w:val="16"/>
          <w:rFonts w:hint="eastAsia" w:ascii="仿宋_GB2312" w:hAnsi="楷体" w:eastAsia="仿宋_GB2312"/>
          <w:b w:val="0"/>
          <w:color w:val="auto"/>
          <w:spacing w:val="-4"/>
          <w:sz w:val="28"/>
          <w:szCs w:val="28"/>
        </w:rPr>
        <w:t>万元,</w:t>
      </w:r>
      <w:r>
        <w:rPr>
          <w:rFonts w:hint="eastAsia"/>
          <w:color w:val="auto"/>
        </w:rPr>
        <w:t xml:space="preserve"> </w:t>
      </w:r>
      <w:r>
        <w:rPr>
          <w:rStyle w:val="16"/>
          <w:rFonts w:hint="eastAsia" w:ascii="仿宋_GB2312" w:hAnsi="楷体" w:eastAsia="仿宋_GB2312"/>
          <w:b w:val="0"/>
          <w:color w:val="auto"/>
          <w:spacing w:val="-4"/>
          <w:sz w:val="28"/>
          <w:szCs w:val="28"/>
        </w:rPr>
        <w:t>到位率</w:t>
      </w:r>
      <w:r>
        <w:rPr>
          <w:rStyle w:val="16"/>
          <w:rFonts w:hint="eastAsia" w:ascii="仿宋_GB2312" w:hAnsi="楷体" w:eastAsia="仿宋_GB2312"/>
          <w:b w:val="0"/>
          <w:color w:val="auto"/>
          <w:spacing w:val="-4"/>
          <w:sz w:val="28"/>
          <w:szCs w:val="28"/>
          <w:lang w:val="en-US" w:eastAsia="zh-CN"/>
        </w:rPr>
        <w:t>100</w:t>
      </w:r>
      <w:r>
        <w:rPr>
          <w:rStyle w:val="16"/>
          <w:rFonts w:hint="eastAsia" w:ascii="仿宋_GB2312" w:hAnsi="楷体" w:eastAsia="仿宋_GB2312"/>
          <w:b w:val="0"/>
          <w:color w:val="auto"/>
          <w:spacing w:val="-4"/>
          <w:sz w:val="28"/>
          <w:szCs w:val="28"/>
        </w:rPr>
        <w:t>％,其中:中央转移支付项目资金</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万元，自治区资金</w:t>
      </w:r>
      <w:r>
        <w:rPr>
          <w:rStyle w:val="16"/>
          <w:rFonts w:hint="eastAsia" w:ascii="仿宋_GB2312" w:hAnsi="楷体" w:eastAsia="仿宋_GB2312"/>
          <w:b w:val="0"/>
          <w:color w:val="auto"/>
          <w:spacing w:val="-4"/>
          <w:sz w:val="28"/>
          <w:szCs w:val="28"/>
          <w:lang w:val="en-US" w:eastAsia="zh-CN"/>
        </w:rPr>
        <w:t>136.10</w:t>
      </w:r>
      <w:r>
        <w:rPr>
          <w:rStyle w:val="16"/>
          <w:rFonts w:hint="eastAsia" w:ascii="仿宋_GB2312" w:hAnsi="楷体" w:eastAsia="仿宋_GB2312"/>
          <w:b w:val="0"/>
          <w:color w:val="auto"/>
          <w:spacing w:val="-4"/>
          <w:sz w:val="28"/>
          <w:szCs w:val="28"/>
        </w:rPr>
        <w:t>万元，本级安排</w:t>
      </w:r>
      <w:r>
        <w:rPr>
          <w:rStyle w:val="16"/>
          <w:rFonts w:hint="eastAsia" w:ascii="仿宋_GB2312" w:hAnsi="楷体" w:eastAsia="仿宋_GB2312"/>
          <w:b w:val="0"/>
          <w:color w:val="auto"/>
          <w:spacing w:val="-4"/>
          <w:sz w:val="28"/>
          <w:szCs w:val="28"/>
          <w:lang w:val="en-US" w:eastAsia="zh-CN"/>
        </w:rPr>
        <w:t>13.35</w:t>
      </w:r>
      <w:r>
        <w:rPr>
          <w:rStyle w:val="16"/>
          <w:rFonts w:hint="eastAsia" w:ascii="仿宋_GB2312" w:hAnsi="楷体" w:eastAsia="仿宋_GB2312"/>
          <w:b w:val="0"/>
          <w:color w:val="auto"/>
          <w:spacing w:val="-4"/>
          <w:sz w:val="28"/>
          <w:szCs w:val="28"/>
        </w:rPr>
        <w:t>万元。</w:t>
      </w:r>
    </w:p>
    <w:p>
      <w:pPr>
        <w:pStyle w:val="5"/>
        <w:spacing w:line="360" w:lineRule="auto"/>
        <w:ind w:firstLine="562" w:firstLineChars="200"/>
        <w:rPr>
          <w:rStyle w:val="16"/>
          <w:rFonts w:ascii="仿宋" w:hAnsi="仿宋" w:eastAsia="仿宋"/>
          <w:b/>
          <w:bCs/>
          <w:color w:val="auto"/>
        </w:rPr>
      </w:pPr>
      <w:bookmarkStart w:id="17" w:name="_Toc70450304"/>
      <w:r>
        <w:rPr>
          <w:rStyle w:val="16"/>
          <w:rFonts w:hint="eastAsia" w:ascii="仿宋" w:hAnsi="仿宋" w:eastAsia="仿宋"/>
          <w:b/>
          <w:bCs/>
          <w:color w:val="auto"/>
        </w:rPr>
        <w:t>2、专项资金实际使用情况</w:t>
      </w:r>
      <w:bookmarkEnd w:id="17"/>
    </w:p>
    <w:p>
      <w:pPr>
        <w:spacing w:line="360" w:lineRule="auto"/>
        <w:ind w:firstLine="492" w:firstLineChars="181"/>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2021年专项资金支出</w:t>
      </w:r>
      <w:r>
        <w:rPr>
          <w:rStyle w:val="16"/>
          <w:rFonts w:hint="eastAsia" w:ascii="仿宋_GB2312" w:hAnsi="楷体" w:eastAsia="仿宋_GB2312"/>
          <w:b w:val="0"/>
          <w:color w:val="auto"/>
          <w:spacing w:val="-4"/>
          <w:sz w:val="28"/>
          <w:szCs w:val="28"/>
          <w:lang w:val="en-US" w:eastAsia="zh-CN"/>
        </w:rPr>
        <w:t>149.45</w:t>
      </w:r>
      <w:r>
        <w:rPr>
          <w:rStyle w:val="16"/>
          <w:rFonts w:hint="eastAsia" w:ascii="仿宋_GB2312" w:hAnsi="楷体" w:eastAsia="仿宋_GB2312"/>
          <w:b w:val="0"/>
          <w:color w:val="auto"/>
          <w:spacing w:val="-4"/>
          <w:sz w:val="28"/>
          <w:szCs w:val="28"/>
        </w:rPr>
        <w:t>万元，占总支出的</w:t>
      </w:r>
      <w:r>
        <w:rPr>
          <w:rStyle w:val="16"/>
          <w:rFonts w:hint="eastAsia" w:ascii="仿宋_GB2312" w:hAnsi="楷体" w:eastAsia="仿宋_GB2312"/>
          <w:b w:val="0"/>
          <w:color w:val="auto"/>
          <w:spacing w:val="-4"/>
          <w:sz w:val="28"/>
          <w:szCs w:val="28"/>
          <w:lang w:val="en-US" w:eastAsia="zh-CN"/>
        </w:rPr>
        <w:t>29.44</w:t>
      </w:r>
      <w:r>
        <w:rPr>
          <w:rStyle w:val="16"/>
          <w:rFonts w:hint="eastAsia" w:ascii="仿宋_GB2312" w:hAnsi="楷体" w:eastAsia="仿宋_GB2312"/>
          <w:b w:val="0"/>
          <w:color w:val="auto"/>
          <w:spacing w:val="-4"/>
          <w:sz w:val="28"/>
          <w:szCs w:val="28"/>
        </w:rPr>
        <w:t>%，其中2021年专项项目支出比上年</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万元增加</w:t>
      </w:r>
      <w:r>
        <w:rPr>
          <w:rStyle w:val="16"/>
          <w:rFonts w:hint="eastAsia" w:ascii="仿宋_GB2312" w:hAnsi="楷体" w:eastAsia="仿宋_GB2312"/>
          <w:b w:val="0"/>
          <w:color w:val="auto"/>
          <w:spacing w:val="-4"/>
          <w:sz w:val="28"/>
          <w:szCs w:val="28"/>
          <w:lang w:val="en-US" w:eastAsia="zh-CN"/>
        </w:rPr>
        <w:t>149.45</w:t>
      </w:r>
      <w:r>
        <w:rPr>
          <w:rStyle w:val="16"/>
          <w:rFonts w:hint="eastAsia" w:ascii="仿宋_GB2312" w:hAnsi="楷体" w:eastAsia="仿宋_GB2312"/>
          <w:b w:val="0"/>
          <w:color w:val="auto"/>
          <w:spacing w:val="-4"/>
          <w:sz w:val="28"/>
          <w:szCs w:val="28"/>
        </w:rPr>
        <w:t>万元，上升</w:t>
      </w:r>
      <w:r>
        <w:rPr>
          <w:rStyle w:val="16"/>
          <w:rFonts w:hint="eastAsia" w:ascii="仿宋_GB2312" w:hAnsi="楷体" w:eastAsia="仿宋_GB2312"/>
          <w:b w:val="0"/>
          <w:color w:val="auto"/>
          <w:spacing w:val="-4"/>
          <w:sz w:val="28"/>
          <w:szCs w:val="28"/>
          <w:lang w:val="en-US" w:eastAsia="zh-CN"/>
        </w:rPr>
        <w:t>100</w:t>
      </w:r>
      <w:r>
        <w:rPr>
          <w:rStyle w:val="16"/>
          <w:rFonts w:ascii="仿宋_GB2312" w:hAnsi="楷体" w:eastAsia="仿宋_GB2312"/>
          <w:b w:val="0"/>
          <w:color w:val="auto"/>
          <w:spacing w:val="-4"/>
          <w:sz w:val="28"/>
          <w:szCs w:val="28"/>
        </w:rPr>
        <w:t xml:space="preserve"> </w:t>
      </w:r>
      <w:r>
        <w:rPr>
          <w:rStyle w:val="16"/>
          <w:rFonts w:hint="eastAsia" w:ascii="仿宋_GB2312" w:hAnsi="楷体" w:eastAsia="仿宋_GB2312"/>
          <w:b w:val="0"/>
          <w:color w:val="auto"/>
          <w:spacing w:val="-4"/>
          <w:sz w:val="28"/>
          <w:szCs w:val="28"/>
        </w:rPr>
        <w:t>%。支出上升</w:t>
      </w:r>
      <w:r>
        <w:rPr>
          <w:rStyle w:val="16"/>
          <w:rFonts w:hint="eastAsia" w:ascii="仿宋_GB2312" w:hAnsi="楷体" w:eastAsia="仿宋_GB2312" w:cs="Times New Roman"/>
          <w:b w:val="0"/>
          <w:color w:val="auto"/>
          <w:spacing w:val="-4"/>
          <w:sz w:val="28"/>
          <w:szCs w:val="28"/>
        </w:rPr>
        <w:t>的主要原因是</w:t>
      </w:r>
      <w:r>
        <w:rPr>
          <w:rStyle w:val="16"/>
          <w:rFonts w:hint="eastAsia" w:ascii="仿宋_GB2312" w:hAnsi="楷体" w:eastAsia="仿宋_GB2312" w:cs="Times New Roman"/>
          <w:b w:val="0"/>
          <w:color w:val="auto"/>
          <w:spacing w:val="-4"/>
          <w:sz w:val="28"/>
          <w:szCs w:val="28"/>
          <w:lang w:eastAsia="zh-CN"/>
        </w:rPr>
        <w:t>：</w:t>
      </w:r>
      <w:r>
        <w:rPr>
          <w:rStyle w:val="16"/>
          <w:rFonts w:hint="eastAsia" w:ascii="仿宋_GB2312" w:hAnsi="楷体" w:eastAsia="仿宋_GB2312" w:cs="Times New Roman"/>
          <w:b w:val="0"/>
          <w:color w:val="auto"/>
          <w:spacing w:val="-4"/>
          <w:sz w:val="28"/>
          <w:szCs w:val="28"/>
          <w:lang w:val="en-US" w:eastAsia="zh-CN"/>
        </w:rPr>
        <w:t>上年度项目由主管单位负责</w:t>
      </w:r>
      <w:r>
        <w:rPr>
          <w:rStyle w:val="16"/>
          <w:rFonts w:hint="eastAsia" w:ascii="仿宋_GB2312" w:hAnsi="楷体" w:eastAsia="仿宋_GB2312" w:cs="Times New Roman"/>
          <w:b w:val="0"/>
          <w:color w:val="auto"/>
          <w:spacing w:val="-4"/>
          <w:sz w:val="28"/>
          <w:szCs w:val="28"/>
          <w:lang w:eastAsia="zh-CN"/>
        </w:rPr>
        <w:t>。</w:t>
      </w:r>
      <w:r>
        <w:rPr>
          <w:rStyle w:val="16"/>
          <w:rFonts w:hint="eastAsia" w:ascii="仿宋_GB2312" w:hAnsi="楷体" w:eastAsia="仿宋_GB2312"/>
          <w:b w:val="0"/>
          <w:color w:val="auto"/>
          <w:spacing w:val="-4"/>
          <w:sz w:val="28"/>
          <w:szCs w:val="28"/>
        </w:rPr>
        <w:t>。</w:t>
      </w:r>
    </w:p>
    <w:p>
      <w:pPr>
        <w:pStyle w:val="5"/>
        <w:spacing w:line="360" w:lineRule="auto"/>
        <w:ind w:firstLine="562" w:firstLineChars="200"/>
        <w:rPr>
          <w:rStyle w:val="16"/>
          <w:rFonts w:ascii="仿宋" w:hAnsi="仿宋" w:eastAsia="仿宋"/>
          <w:b/>
          <w:bCs/>
          <w:color w:val="auto"/>
        </w:rPr>
      </w:pPr>
      <w:bookmarkStart w:id="18" w:name="_Toc70450305"/>
      <w:r>
        <w:rPr>
          <w:rStyle w:val="16"/>
          <w:rFonts w:hint="eastAsia" w:ascii="仿宋" w:hAnsi="仿宋" w:eastAsia="仿宋"/>
          <w:b/>
          <w:bCs/>
          <w:color w:val="auto"/>
        </w:rPr>
        <w:t>3、专项资金管理情况</w:t>
      </w:r>
      <w:bookmarkEnd w:id="18"/>
    </w:p>
    <w:p>
      <w:pPr>
        <w:spacing w:line="360" w:lineRule="auto"/>
        <w:ind w:firstLine="492" w:firstLineChars="181"/>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为规范专项资金使用，提高专项资金使用效益，我单位主要采取四项措施。</w:t>
      </w:r>
    </w:p>
    <w:p>
      <w:pPr>
        <w:spacing w:line="360" w:lineRule="auto"/>
        <w:ind w:firstLine="492" w:firstLineChars="181"/>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（1）制定了专项资金管理办法，，各项资金使用审批流程均按规定办理。涉及“三重一大”内容，严格按照规定提请局党组会审议决定，包括项目资金分配、重大项目确定、大额资金支付等。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w:t>
      </w:r>
      <w:r>
        <w:rPr>
          <w:rStyle w:val="16"/>
          <w:rFonts w:ascii="仿宋_GB2312" w:hAnsi="楷体" w:eastAsia="仿宋_GB2312"/>
          <w:b w:val="0"/>
          <w:color w:val="auto"/>
          <w:spacing w:val="-4"/>
          <w:sz w:val="28"/>
          <w:szCs w:val="28"/>
        </w:rPr>
        <w:t>2</w:t>
      </w:r>
      <w:r>
        <w:rPr>
          <w:rStyle w:val="16"/>
          <w:rFonts w:hint="eastAsia" w:ascii="仿宋_GB2312" w:hAnsi="楷体" w:eastAsia="仿宋_GB2312"/>
          <w:b w:val="0"/>
          <w:color w:val="auto"/>
          <w:spacing w:val="-4"/>
          <w:sz w:val="28"/>
          <w:szCs w:val="28"/>
        </w:rPr>
        <w:t>）建立专项资金专帐，做到有据可依，有据可查。</w:t>
      </w:r>
    </w:p>
    <w:p>
      <w:pPr>
        <w:spacing w:line="360" w:lineRule="auto"/>
        <w:ind w:firstLine="492" w:firstLineChars="181"/>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（3）制订了项目实施方案，确保项目。</w:t>
      </w:r>
    </w:p>
    <w:p>
      <w:pPr>
        <w:spacing w:line="360" w:lineRule="auto"/>
        <w:ind w:firstLine="492" w:firstLineChars="181"/>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（4）认真组织项目验收，确保。</w:t>
      </w:r>
    </w:p>
    <w:p>
      <w:pPr>
        <w:spacing w:line="360" w:lineRule="auto"/>
        <w:ind w:firstLine="492" w:firstLineChars="181"/>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专项资金涉及政府采购项目的，按照局《采购与招标管理办法》组织人员制定采购计划，按照财政局采购部门批复，进行公开招标、邀请招标等方式进行。</w:t>
      </w:r>
    </w:p>
    <w:p>
      <w:pPr>
        <w:spacing w:line="360" w:lineRule="auto"/>
        <w:ind w:firstLine="492" w:firstLineChars="181"/>
        <w:rPr>
          <w:rStyle w:val="16"/>
          <w:rFonts w:ascii="仿宋_GB2312" w:hAnsi="楷体" w:eastAsia="仿宋_GB2312"/>
          <w:b w:val="0"/>
          <w:color w:val="auto"/>
          <w:spacing w:val="-4"/>
          <w:sz w:val="28"/>
          <w:szCs w:val="28"/>
        </w:rPr>
      </w:pPr>
    </w:p>
    <w:p>
      <w:pPr>
        <w:pStyle w:val="3"/>
        <w:spacing w:line="360" w:lineRule="auto"/>
        <w:rPr>
          <w:rFonts w:ascii="仿宋" w:hAnsi="仿宋" w:eastAsia="仿宋"/>
          <w:color w:val="auto"/>
          <w:sz w:val="36"/>
          <w:szCs w:val="36"/>
          <w:lang w:bidi="ar"/>
        </w:rPr>
      </w:pPr>
      <w:bookmarkStart w:id="19" w:name="_Toc70450306"/>
      <w:r>
        <w:rPr>
          <w:rFonts w:hint="eastAsia" w:ascii="仿宋" w:hAnsi="仿宋" w:eastAsia="仿宋"/>
          <w:color w:val="auto"/>
          <w:sz w:val="36"/>
          <w:szCs w:val="36"/>
          <w:lang w:bidi="ar"/>
        </w:rPr>
        <w:t>三、部门单位专项组织实施情况</w:t>
      </w:r>
      <w:bookmarkEnd w:id="19"/>
    </w:p>
    <w:p>
      <w:pPr>
        <w:pStyle w:val="5"/>
        <w:numPr>
          <w:ilvl w:val="0"/>
          <w:numId w:val="1"/>
        </w:numPr>
        <w:spacing w:line="360" w:lineRule="auto"/>
        <w:rPr>
          <w:rStyle w:val="16"/>
          <w:rFonts w:ascii="仿宋" w:hAnsi="仿宋" w:eastAsia="仿宋"/>
          <w:b/>
          <w:bCs/>
          <w:color w:val="auto"/>
        </w:rPr>
      </w:pPr>
      <w:bookmarkStart w:id="20" w:name="_Toc70450308"/>
      <w:r>
        <w:rPr>
          <w:rStyle w:val="16"/>
          <w:rFonts w:hint="eastAsia" w:ascii="仿宋" w:hAnsi="仿宋" w:eastAsia="仿宋"/>
          <w:b/>
          <w:bCs/>
          <w:color w:val="auto"/>
        </w:rPr>
        <w:t>专项组织情况分析</w:t>
      </w:r>
      <w:bookmarkEnd w:id="20"/>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1、前期准备</w:t>
      </w:r>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年初我部门单位下发的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w:t>
      </w:r>
      <w:r>
        <w:rPr>
          <w:rStyle w:val="16"/>
          <w:rFonts w:ascii="仿宋_GB2312" w:hAnsi="楷体" w:eastAsia="仿宋_GB2312"/>
          <w:b w:val="0"/>
          <w:bCs w:val="0"/>
          <w:color w:val="auto"/>
          <w:spacing w:val="-4"/>
          <w:sz w:val="28"/>
          <w:szCs w:val="28"/>
        </w:rPr>
        <w:t>1</w:t>
      </w:r>
      <w:r>
        <w:rPr>
          <w:rStyle w:val="16"/>
          <w:rFonts w:hint="eastAsia" w:ascii="仿宋_GB2312" w:hAnsi="楷体" w:eastAsia="仿宋_GB2312"/>
          <w:b w:val="0"/>
          <w:bCs w:val="0"/>
          <w:color w:val="auto"/>
          <w:spacing w:val="-4"/>
          <w:sz w:val="28"/>
          <w:szCs w:val="28"/>
        </w:rPr>
        <w:t>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2、组织实施</w:t>
      </w:r>
    </w:p>
    <w:p>
      <w:pPr>
        <w:snapToGrid w:val="0"/>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p>
    <w:p>
      <w:pPr>
        <w:snapToGrid w:val="0"/>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一是对专项项目预算执行情况进行分析，再考察专项项目产出、项目目标的实现程度和管理有效性，从而总结项目取得的业绩和经验，发现项目存在的不足之处。</w:t>
      </w:r>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snapToGrid w:val="0"/>
        <w:spacing w:line="360" w:lineRule="auto"/>
        <w:ind w:firstLine="544" w:firstLineChars="200"/>
        <w:rPr>
          <w:rStyle w:val="16"/>
          <w:rFonts w:hint="eastAsia" w:ascii="宋体" w:hAnsi="宋体" w:eastAsia="宋体"/>
          <w:color w:val="auto"/>
          <w:spacing w:val="-4"/>
          <w:sz w:val="28"/>
          <w:szCs w:val="28"/>
        </w:rPr>
      </w:pPr>
      <w:r>
        <w:rPr>
          <w:rStyle w:val="16"/>
          <w:rFonts w:hint="eastAsia" w:ascii="仿宋_GB2312" w:hAnsi="楷体" w:eastAsia="仿宋_GB2312"/>
          <w:b w:val="0"/>
          <w:bCs w:val="0"/>
          <w:color w:val="auto"/>
          <w:spacing w:val="-4"/>
          <w:sz w:val="28"/>
          <w:szCs w:val="28"/>
        </w:rPr>
        <w:t>截止12月</w:t>
      </w:r>
      <w:r>
        <w:rPr>
          <w:rStyle w:val="16"/>
          <w:rFonts w:hint="eastAsia" w:ascii="仿宋_GB2312" w:hAnsi="楷体" w:eastAsia="仿宋_GB2312"/>
          <w:b w:val="0"/>
          <w:bCs w:val="0"/>
          <w:color w:val="auto"/>
          <w:spacing w:val="-4"/>
          <w:sz w:val="28"/>
          <w:szCs w:val="28"/>
          <w:lang w:val="en-US" w:eastAsia="zh-CN"/>
        </w:rPr>
        <w:t>31</w:t>
      </w:r>
      <w:r>
        <w:rPr>
          <w:rStyle w:val="16"/>
          <w:rFonts w:hint="eastAsia" w:ascii="仿宋_GB2312" w:hAnsi="楷体" w:eastAsia="仿宋_GB2312"/>
          <w:b w:val="0"/>
          <w:bCs w:val="0"/>
          <w:color w:val="auto"/>
          <w:spacing w:val="-4"/>
          <w:sz w:val="28"/>
          <w:szCs w:val="28"/>
        </w:rPr>
        <w:t>日，该专项均按照时间计划保质、保量完成。</w:t>
      </w:r>
    </w:p>
    <w:p>
      <w:pPr>
        <w:pStyle w:val="5"/>
        <w:numPr>
          <w:ilvl w:val="0"/>
          <w:numId w:val="1"/>
        </w:numPr>
        <w:spacing w:line="360" w:lineRule="auto"/>
        <w:rPr>
          <w:rStyle w:val="16"/>
          <w:rFonts w:ascii="仿宋" w:hAnsi="仿宋" w:eastAsia="仿宋"/>
          <w:b/>
          <w:bCs/>
          <w:color w:val="auto"/>
        </w:rPr>
      </w:pPr>
      <w:bookmarkStart w:id="21" w:name="_Toc70450309"/>
      <w:r>
        <w:rPr>
          <w:rStyle w:val="16"/>
          <w:rFonts w:hint="eastAsia" w:ascii="仿宋" w:hAnsi="仿宋" w:eastAsia="仿宋"/>
          <w:b/>
          <w:bCs/>
          <w:color w:val="auto"/>
        </w:rPr>
        <w:t>专项管理情况分析</w:t>
      </w:r>
      <w:bookmarkEnd w:id="21"/>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1、资金到位及使用情况</w:t>
      </w:r>
    </w:p>
    <w:p>
      <w:pPr>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楷体" w:eastAsia="仿宋_GB2312"/>
          <w:b w:val="0"/>
          <w:color w:val="auto"/>
          <w:spacing w:val="-4"/>
          <w:sz w:val="28"/>
          <w:szCs w:val="28"/>
        </w:rPr>
        <w:t>2</w:t>
      </w:r>
      <w:r>
        <w:rPr>
          <w:rStyle w:val="16"/>
          <w:rFonts w:ascii="仿宋_GB2312" w:hAnsi="楷体" w:eastAsia="仿宋_GB2312"/>
          <w:b w:val="0"/>
          <w:color w:val="auto"/>
          <w:spacing w:val="-4"/>
          <w:sz w:val="28"/>
          <w:szCs w:val="28"/>
        </w:rPr>
        <w:t>021</w:t>
      </w:r>
      <w:r>
        <w:rPr>
          <w:rStyle w:val="16"/>
          <w:rFonts w:hint="eastAsia" w:ascii="仿宋_GB2312" w:hAnsi="楷体" w:eastAsia="仿宋_GB2312"/>
          <w:b w:val="0"/>
          <w:color w:val="auto"/>
          <w:spacing w:val="-4"/>
          <w:sz w:val="28"/>
          <w:szCs w:val="28"/>
        </w:rPr>
        <w:t>年涉及专项资金</w:t>
      </w:r>
      <w:r>
        <w:rPr>
          <w:rStyle w:val="16"/>
          <w:rFonts w:hint="eastAsia" w:ascii="仿宋_GB2312" w:hAnsi="楷体" w:eastAsia="仿宋_GB2312"/>
          <w:b w:val="0"/>
          <w:color w:val="auto"/>
          <w:spacing w:val="-4"/>
          <w:sz w:val="28"/>
          <w:szCs w:val="28"/>
          <w:lang w:val="en-US" w:eastAsia="zh-CN"/>
        </w:rPr>
        <w:t>149.45</w:t>
      </w:r>
      <w:r>
        <w:rPr>
          <w:rStyle w:val="16"/>
          <w:rFonts w:hint="eastAsia" w:ascii="仿宋_GB2312" w:hAnsi="楷体" w:eastAsia="仿宋_GB2312"/>
          <w:b w:val="0"/>
          <w:color w:val="auto"/>
          <w:spacing w:val="-4"/>
          <w:sz w:val="28"/>
          <w:szCs w:val="28"/>
        </w:rPr>
        <w:t>万元，实际到位</w:t>
      </w:r>
      <w:r>
        <w:rPr>
          <w:rStyle w:val="16"/>
          <w:rFonts w:hint="eastAsia" w:ascii="仿宋_GB2312" w:hAnsi="楷体" w:eastAsia="仿宋_GB2312"/>
          <w:b w:val="0"/>
          <w:color w:val="auto"/>
          <w:spacing w:val="-4"/>
          <w:sz w:val="28"/>
          <w:szCs w:val="28"/>
          <w:lang w:val="en-US" w:eastAsia="zh-CN"/>
        </w:rPr>
        <w:t>149.45</w:t>
      </w:r>
      <w:r>
        <w:rPr>
          <w:rStyle w:val="16"/>
          <w:rFonts w:hint="eastAsia" w:ascii="仿宋_GB2312" w:hAnsi="楷体" w:eastAsia="仿宋_GB2312"/>
          <w:b w:val="0"/>
          <w:color w:val="auto"/>
          <w:spacing w:val="-4"/>
          <w:sz w:val="28"/>
          <w:szCs w:val="28"/>
        </w:rPr>
        <w:t>万元，资金到位率</w:t>
      </w:r>
      <w:r>
        <w:rPr>
          <w:rStyle w:val="16"/>
          <w:rFonts w:hint="eastAsia" w:ascii="仿宋_GB2312" w:hAnsi="楷体" w:eastAsia="仿宋_GB2312"/>
          <w:b w:val="0"/>
          <w:color w:val="auto"/>
          <w:spacing w:val="-4"/>
          <w:sz w:val="28"/>
          <w:szCs w:val="28"/>
          <w:lang w:val="en-US" w:eastAsia="zh-CN"/>
        </w:rPr>
        <w:t>100</w:t>
      </w:r>
      <w:r>
        <w:rPr>
          <w:rStyle w:val="16"/>
          <w:rFonts w:hint="eastAsia" w:ascii="仿宋_GB2312" w:hAnsi="楷体" w:eastAsia="仿宋_GB2312"/>
          <w:b w:val="0"/>
          <w:color w:val="auto"/>
          <w:spacing w:val="-4"/>
          <w:sz w:val="28"/>
          <w:szCs w:val="28"/>
        </w:rPr>
        <w:t>%。截止到</w:t>
      </w:r>
      <w:r>
        <w:rPr>
          <w:rStyle w:val="16"/>
          <w:rFonts w:ascii="仿宋_GB2312" w:hAnsi="楷体" w:eastAsia="仿宋_GB2312"/>
          <w:b w:val="0"/>
          <w:color w:val="auto"/>
          <w:spacing w:val="-4"/>
          <w:sz w:val="28"/>
          <w:szCs w:val="28"/>
        </w:rPr>
        <w:t>2021</w:t>
      </w:r>
      <w:r>
        <w:rPr>
          <w:rStyle w:val="16"/>
          <w:rFonts w:hint="eastAsia" w:ascii="仿宋_GB2312" w:hAnsi="楷体" w:eastAsia="仿宋_GB2312"/>
          <w:b w:val="0"/>
          <w:color w:val="auto"/>
          <w:spacing w:val="-4"/>
          <w:sz w:val="28"/>
          <w:szCs w:val="28"/>
        </w:rPr>
        <w:t>年</w:t>
      </w:r>
      <w:r>
        <w:rPr>
          <w:rStyle w:val="16"/>
          <w:rFonts w:hint="eastAsia" w:ascii="仿宋_GB2312" w:hAnsi="楷体" w:eastAsia="仿宋_GB2312"/>
          <w:b w:val="0"/>
          <w:color w:val="auto"/>
          <w:spacing w:val="-4"/>
          <w:sz w:val="28"/>
          <w:szCs w:val="28"/>
          <w:lang w:val="en-US" w:eastAsia="zh-CN"/>
        </w:rPr>
        <w:t>12月31</w:t>
      </w:r>
      <w:r>
        <w:rPr>
          <w:rStyle w:val="16"/>
          <w:rFonts w:hint="eastAsia" w:ascii="仿宋_GB2312" w:hAnsi="楷体" w:eastAsia="仿宋_GB2312"/>
          <w:b w:val="0"/>
          <w:color w:val="auto"/>
          <w:spacing w:val="-4"/>
          <w:sz w:val="28"/>
          <w:szCs w:val="28"/>
        </w:rPr>
        <w:t>日执行</w:t>
      </w:r>
      <w:r>
        <w:rPr>
          <w:rStyle w:val="16"/>
          <w:rFonts w:hint="eastAsia" w:ascii="仿宋_GB2312" w:hAnsi="楷体" w:eastAsia="仿宋_GB2312"/>
          <w:b w:val="0"/>
          <w:color w:val="auto"/>
          <w:spacing w:val="-4"/>
          <w:sz w:val="28"/>
          <w:szCs w:val="28"/>
          <w:lang w:val="en-US" w:eastAsia="zh-CN"/>
        </w:rPr>
        <w:t>149.45</w:t>
      </w:r>
      <w:r>
        <w:rPr>
          <w:rStyle w:val="16"/>
          <w:rFonts w:hint="eastAsia" w:ascii="仿宋_GB2312" w:hAnsi="楷体" w:eastAsia="仿宋_GB2312"/>
          <w:b w:val="0"/>
          <w:color w:val="auto"/>
          <w:spacing w:val="-4"/>
          <w:sz w:val="28"/>
          <w:szCs w:val="28"/>
        </w:rPr>
        <w:t>万元，执行率</w:t>
      </w:r>
      <w:r>
        <w:rPr>
          <w:rStyle w:val="16"/>
          <w:rFonts w:hint="eastAsia" w:ascii="仿宋_GB2312" w:hAnsi="楷体" w:eastAsia="仿宋_GB2312"/>
          <w:b w:val="0"/>
          <w:color w:val="auto"/>
          <w:spacing w:val="-4"/>
          <w:sz w:val="28"/>
          <w:szCs w:val="28"/>
          <w:lang w:val="en-US" w:eastAsia="zh-CN"/>
        </w:rPr>
        <w:t>100</w:t>
      </w:r>
      <w:r>
        <w:rPr>
          <w:rStyle w:val="16"/>
          <w:rFonts w:hint="eastAsia" w:ascii="仿宋_GB2312" w:hAnsi="楷体" w:eastAsia="仿宋_GB2312"/>
          <w:b w:val="0"/>
          <w:color w:val="auto"/>
          <w:spacing w:val="-4"/>
          <w:sz w:val="28"/>
          <w:szCs w:val="28"/>
        </w:rPr>
        <w:t>%。其中：20</w:t>
      </w:r>
      <w:r>
        <w:rPr>
          <w:rStyle w:val="16"/>
          <w:rFonts w:ascii="仿宋_GB2312" w:hAnsi="楷体" w:eastAsia="仿宋_GB2312"/>
          <w:b w:val="0"/>
          <w:color w:val="auto"/>
          <w:spacing w:val="-4"/>
          <w:sz w:val="28"/>
          <w:szCs w:val="28"/>
        </w:rPr>
        <w:t>21</w:t>
      </w:r>
      <w:r>
        <w:rPr>
          <w:rStyle w:val="16"/>
          <w:rFonts w:hint="eastAsia" w:ascii="仿宋_GB2312" w:hAnsi="楷体" w:eastAsia="仿宋_GB2312"/>
          <w:b w:val="0"/>
          <w:color w:val="auto"/>
          <w:spacing w:val="-4"/>
          <w:sz w:val="28"/>
          <w:szCs w:val="28"/>
        </w:rPr>
        <w:t>年结转专项资金</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万元，实际执行</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万元，执行率为</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%；202</w:t>
      </w:r>
      <w:r>
        <w:rPr>
          <w:rStyle w:val="16"/>
          <w:rFonts w:ascii="仿宋_GB2312" w:hAnsi="楷体" w:eastAsia="仿宋_GB2312"/>
          <w:b w:val="0"/>
          <w:color w:val="auto"/>
          <w:spacing w:val="-4"/>
          <w:sz w:val="28"/>
          <w:szCs w:val="28"/>
        </w:rPr>
        <w:t>1</w:t>
      </w:r>
      <w:r>
        <w:rPr>
          <w:rStyle w:val="16"/>
          <w:rFonts w:hint="eastAsia" w:ascii="仿宋_GB2312" w:hAnsi="楷体" w:eastAsia="仿宋_GB2312"/>
          <w:b w:val="0"/>
          <w:color w:val="auto"/>
          <w:spacing w:val="-4"/>
          <w:sz w:val="28"/>
          <w:szCs w:val="28"/>
        </w:rPr>
        <w:t>年新增专项资金</w:t>
      </w:r>
      <w:r>
        <w:rPr>
          <w:rStyle w:val="16"/>
          <w:rFonts w:hint="eastAsia" w:ascii="仿宋_GB2312" w:hAnsi="楷体" w:eastAsia="仿宋_GB2312"/>
          <w:b w:val="0"/>
          <w:color w:val="auto"/>
          <w:spacing w:val="-4"/>
          <w:sz w:val="28"/>
          <w:szCs w:val="28"/>
          <w:lang w:val="en-US" w:eastAsia="zh-CN"/>
        </w:rPr>
        <w:t>149.45</w:t>
      </w:r>
      <w:r>
        <w:rPr>
          <w:rStyle w:val="16"/>
          <w:rFonts w:hint="eastAsia" w:ascii="仿宋_GB2312" w:hAnsi="楷体" w:eastAsia="仿宋_GB2312"/>
          <w:b w:val="0"/>
          <w:color w:val="auto"/>
          <w:spacing w:val="-4"/>
          <w:sz w:val="28"/>
          <w:szCs w:val="28"/>
        </w:rPr>
        <w:t>万元，实际执行</w:t>
      </w:r>
      <w:r>
        <w:rPr>
          <w:rStyle w:val="16"/>
          <w:rFonts w:hint="eastAsia" w:ascii="仿宋_GB2312" w:hAnsi="楷体" w:eastAsia="仿宋_GB2312"/>
          <w:b w:val="0"/>
          <w:color w:val="auto"/>
          <w:spacing w:val="-4"/>
          <w:sz w:val="28"/>
          <w:szCs w:val="28"/>
          <w:lang w:val="en-US" w:eastAsia="zh-CN"/>
        </w:rPr>
        <w:t>149.45</w:t>
      </w:r>
      <w:r>
        <w:rPr>
          <w:rStyle w:val="16"/>
          <w:rFonts w:hint="eastAsia" w:ascii="仿宋_GB2312" w:hAnsi="楷体" w:eastAsia="仿宋_GB2312"/>
          <w:b w:val="0"/>
          <w:color w:val="auto"/>
          <w:spacing w:val="-4"/>
          <w:sz w:val="28"/>
          <w:szCs w:val="28"/>
        </w:rPr>
        <w:t>万元，执行率为</w:t>
      </w:r>
      <w:r>
        <w:rPr>
          <w:rStyle w:val="16"/>
          <w:rFonts w:hint="eastAsia" w:ascii="仿宋_GB2312" w:hAnsi="楷体" w:eastAsia="仿宋_GB2312"/>
          <w:b w:val="0"/>
          <w:color w:val="auto"/>
          <w:spacing w:val="-4"/>
          <w:sz w:val="28"/>
          <w:szCs w:val="28"/>
          <w:lang w:val="en-US" w:eastAsia="zh-CN"/>
        </w:rPr>
        <w:t>100</w:t>
      </w:r>
      <w:r>
        <w:rPr>
          <w:rStyle w:val="16"/>
          <w:rFonts w:hint="eastAsia" w:ascii="仿宋_GB2312" w:hAnsi="楷体" w:eastAsia="仿宋_GB2312"/>
          <w:b w:val="0"/>
          <w:color w:val="auto"/>
          <w:spacing w:val="-4"/>
          <w:sz w:val="28"/>
          <w:szCs w:val="28"/>
        </w:rPr>
        <w:t>%。</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2、资金管理情况</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val="en-US" w:eastAsia="zh-CN"/>
        </w:rPr>
        <w:t>我</w:t>
      </w:r>
      <w:r>
        <w:rPr>
          <w:rStyle w:val="16"/>
          <w:rFonts w:hint="eastAsia" w:ascii="仿宋_GB2312" w:hAnsi="楷体" w:eastAsia="仿宋_GB2312"/>
          <w:b w:val="0"/>
          <w:color w:val="auto"/>
          <w:spacing w:val="-4"/>
          <w:sz w:val="28"/>
          <w:szCs w:val="28"/>
        </w:rPr>
        <w:t>单位严格执行《专项资金管理办法》文件精神要求，加强对专项资金的绩效管理，确保专款专用，提高专项资金使用效益。遵守相关法律法规，严肃财经纪律，自觉接受财政、审计、监察监督检查。</w:t>
      </w:r>
    </w:p>
    <w:p>
      <w:pPr>
        <w:pStyle w:val="5"/>
        <w:numPr>
          <w:ilvl w:val="0"/>
          <w:numId w:val="1"/>
        </w:numPr>
        <w:spacing w:line="360" w:lineRule="auto"/>
        <w:rPr>
          <w:rStyle w:val="16"/>
          <w:rFonts w:ascii="仿宋" w:hAnsi="仿宋" w:eastAsia="仿宋"/>
          <w:b/>
          <w:bCs/>
          <w:color w:val="auto"/>
        </w:rPr>
      </w:pPr>
      <w:r>
        <w:rPr>
          <w:rStyle w:val="16"/>
          <w:rFonts w:hint="eastAsia" w:ascii="仿宋" w:hAnsi="仿宋" w:eastAsia="仿宋"/>
          <w:b/>
          <w:bCs/>
          <w:color w:val="auto"/>
        </w:rPr>
        <w:t>项目实施情况分析</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1</w:t>
      </w:r>
      <w:r>
        <w:rPr>
          <w:rStyle w:val="16"/>
          <w:rFonts w:ascii="仿宋_GB2312" w:hAnsi="楷体" w:eastAsia="仿宋_GB2312"/>
          <w:b w:val="0"/>
          <w:color w:val="auto"/>
          <w:spacing w:val="-4"/>
          <w:sz w:val="28"/>
          <w:szCs w:val="28"/>
        </w:rPr>
        <w:t>、组织情况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val="en-US" w:eastAsia="zh-CN"/>
        </w:rPr>
        <w:t>特克斯县齐勒乌泽克镇卫生院</w:t>
      </w:r>
      <w:r>
        <w:rPr>
          <w:rStyle w:val="16"/>
          <w:rFonts w:hint="eastAsia" w:ascii="仿宋_GB2312" w:hAnsi="楷体" w:eastAsia="仿宋_GB2312"/>
          <w:b w:val="0"/>
          <w:color w:val="auto"/>
          <w:spacing w:val="-4"/>
          <w:sz w:val="28"/>
          <w:szCs w:val="28"/>
        </w:rPr>
        <w:t>根据202</w:t>
      </w:r>
      <w:r>
        <w:rPr>
          <w:rStyle w:val="16"/>
          <w:rFonts w:ascii="仿宋_GB2312" w:hAnsi="楷体" w:eastAsia="仿宋_GB2312"/>
          <w:b w:val="0"/>
          <w:color w:val="auto"/>
          <w:spacing w:val="-4"/>
          <w:sz w:val="28"/>
          <w:szCs w:val="28"/>
        </w:rPr>
        <w:t>1</w:t>
      </w:r>
      <w:r>
        <w:rPr>
          <w:rStyle w:val="16"/>
          <w:rFonts w:hint="eastAsia" w:ascii="仿宋_GB2312" w:hAnsi="楷体" w:eastAsia="仿宋_GB2312"/>
          <w:b w:val="0"/>
          <w:color w:val="auto"/>
          <w:spacing w:val="-4"/>
          <w:sz w:val="28"/>
          <w:szCs w:val="28"/>
        </w:rPr>
        <w:t>年</w:t>
      </w:r>
      <w:r>
        <w:rPr>
          <w:rStyle w:val="16"/>
          <w:rFonts w:hint="eastAsia" w:ascii="仿宋_GB2312" w:hAnsi="楷体" w:eastAsia="仿宋_GB2312"/>
          <w:b w:val="0"/>
          <w:color w:val="auto"/>
          <w:spacing w:val="-4"/>
          <w:sz w:val="28"/>
          <w:szCs w:val="28"/>
          <w:lang w:val="en-US" w:eastAsia="zh-CN"/>
        </w:rPr>
        <w:t>3</w:t>
      </w:r>
      <w:r>
        <w:rPr>
          <w:rStyle w:val="16"/>
          <w:rFonts w:hint="eastAsia" w:ascii="仿宋_GB2312" w:hAnsi="楷体" w:eastAsia="仿宋_GB2312"/>
          <w:b w:val="0"/>
          <w:color w:val="auto"/>
          <w:spacing w:val="-4"/>
          <w:sz w:val="28"/>
          <w:szCs w:val="28"/>
        </w:rPr>
        <w:t>个项目的绩效目标及工作内容，将其细化分工至本单位</w:t>
      </w:r>
      <w:r>
        <w:rPr>
          <w:rStyle w:val="16"/>
          <w:rFonts w:hint="eastAsia" w:ascii="仿宋_GB2312" w:hAnsi="楷体" w:eastAsia="仿宋_GB2312"/>
          <w:b w:val="0"/>
          <w:color w:val="auto"/>
          <w:spacing w:val="-4"/>
          <w:sz w:val="28"/>
          <w:szCs w:val="28"/>
          <w:lang w:val="en-US" w:eastAsia="zh-CN"/>
        </w:rPr>
        <w:t>6</w:t>
      </w:r>
      <w:r>
        <w:rPr>
          <w:rStyle w:val="16"/>
          <w:rFonts w:hint="eastAsia" w:ascii="仿宋_GB2312" w:hAnsi="楷体" w:eastAsia="仿宋_GB2312"/>
          <w:b w:val="0"/>
          <w:color w:val="auto"/>
          <w:spacing w:val="-4"/>
          <w:sz w:val="28"/>
          <w:szCs w:val="28"/>
        </w:rPr>
        <w:t>个科室负责人，加强组织领导，明确分工，各司其职，抓好工作目标任务的落实完成，同时年中要求各科室负责人按照年初预算对本科室绩效工作进行自查自评，并报上半年工作情况总结，</w:t>
      </w:r>
      <w:r>
        <w:rPr>
          <w:rStyle w:val="16"/>
          <w:rFonts w:ascii="仿宋_GB2312" w:hAnsi="楷体" w:eastAsia="仿宋_GB2312"/>
          <w:b w:val="0"/>
          <w:color w:val="auto"/>
          <w:spacing w:val="-4"/>
          <w:sz w:val="28"/>
          <w:szCs w:val="28"/>
        </w:rPr>
        <w:t>5</w:t>
      </w:r>
      <w:r>
        <w:rPr>
          <w:rStyle w:val="16"/>
          <w:rFonts w:hint="eastAsia" w:ascii="仿宋_GB2312" w:hAnsi="楷体" w:eastAsia="仿宋_GB2312"/>
          <w:b w:val="0"/>
          <w:color w:val="auto"/>
          <w:spacing w:val="-4"/>
          <w:sz w:val="28"/>
          <w:szCs w:val="28"/>
        </w:rPr>
        <w:t>月和8月对工作情况进行跟踪检查，确保绩效目标如期实现，不断提高财政资金配置和使用效益。</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w:t>
      </w:r>
      <w:r>
        <w:rPr>
          <w:rStyle w:val="16"/>
          <w:rFonts w:ascii="仿宋_GB2312" w:hAnsi="楷体" w:eastAsia="仿宋_GB2312"/>
          <w:b w:val="0"/>
          <w:color w:val="auto"/>
          <w:spacing w:val="-4"/>
          <w:sz w:val="28"/>
          <w:szCs w:val="28"/>
        </w:rPr>
        <w:t>、管理情况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val="en-US" w:eastAsia="zh-CN"/>
        </w:rPr>
        <w:t>特克斯县齐勒乌泽克镇卫生院</w:t>
      </w:r>
      <w:r>
        <w:rPr>
          <w:rStyle w:val="16"/>
          <w:rFonts w:hint="eastAsia" w:ascii="仿宋_GB2312" w:hAnsi="楷体" w:eastAsia="仿宋_GB2312"/>
          <w:b w:val="0"/>
          <w:color w:val="auto"/>
          <w:spacing w:val="-4"/>
          <w:sz w:val="28"/>
          <w:szCs w:val="28"/>
        </w:rPr>
        <w:t>实施的</w:t>
      </w:r>
      <w:r>
        <w:rPr>
          <w:rStyle w:val="16"/>
          <w:rFonts w:hint="eastAsia" w:ascii="仿宋_GB2312" w:hAnsi="楷体" w:eastAsia="仿宋_GB2312"/>
          <w:b w:val="0"/>
          <w:color w:val="auto"/>
          <w:spacing w:val="-4"/>
          <w:sz w:val="28"/>
          <w:szCs w:val="28"/>
          <w:lang w:val="en-US" w:eastAsia="zh-CN"/>
        </w:rPr>
        <w:t>3</w:t>
      </w:r>
      <w:r>
        <w:rPr>
          <w:rStyle w:val="16"/>
          <w:rFonts w:hint="eastAsia" w:ascii="仿宋_GB2312" w:hAnsi="楷体" w:eastAsia="仿宋_GB2312"/>
          <w:b w:val="0"/>
          <w:color w:val="auto"/>
          <w:spacing w:val="-4"/>
          <w:sz w:val="28"/>
          <w:szCs w:val="28"/>
        </w:rPr>
        <w:t>个项目，由相关业务科室指派专人进行全过程跟踪管理，科室负责人统筹推进项目实施，单位领导不定期对项目进度进行调度，并对项目质量进行控制。</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3</w:t>
      </w:r>
      <w:r>
        <w:rPr>
          <w:rStyle w:val="16"/>
          <w:rFonts w:ascii="仿宋_GB2312" w:hAnsi="楷体" w:eastAsia="仿宋_GB2312"/>
          <w:b w:val="0"/>
          <w:color w:val="auto"/>
          <w:spacing w:val="-4"/>
          <w:sz w:val="28"/>
          <w:szCs w:val="28"/>
        </w:rPr>
        <w:t>、监管情况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val="en-US" w:eastAsia="zh-CN"/>
        </w:rPr>
        <w:t>特克斯县齐勒乌泽克镇卫生院</w:t>
      </w:r>
      <w:r>
        <w:rPr>
          <w:rStyle w:val="16"/>
          <w:rFonts w:hint="eastAsia" w:ascii="仿宋_GB2312" w:hAnsi="楷体" w:eastAsia="仿宋_GB2312"/>
          <w:b w:val="0"/>
          <w:color w:val="auto"/>
          <w:spacing w:val="-4"/>
          <w:sz w:val="28"/>
          <w:szCs w:val="28"/>
        </w:rPr>
        <w:t>从项目实施方案、项目预算、项目建设进度、项目成本、项目验收等环节，全过程对项目进行监管，并向本单位主要领导报告，以推进项目建设和提高项目质量，以发挥资金使用效益。</w:t>
      </w:r>
    </w:p>
    <w:p>
      <w:pPr>
        <w:pStyle w:val="5"/>
        <w:numPr>
          <w:ilvl w:val="0"/>
          <w:numId w:val="1"/>
        </w:numPr>
        <w:spacing w:line="360" w:lineRule="auto"/>
        <w:rPr>
          <w:rStyle w:val="16"/>
          <w:rFonts w:ascii="仿宋" w:hAnsi="仿宋" w:eastAsia="仿宋"/>
          <w:b/>
          <w:bCs/>
          <w:color w:val="auto"/>
        </w:rPr>
      </w:pPr>
      <w:r>
        <w:rPr>
          <w:rStyle w:val="16"/>
          <w:rFonts w:hint="eastAsia" w:ascii="仿宋" w:hAnsi="仿宋" w:eastAsia="仿宋"/>
          <w:b/>
          <w:bCs/>
          <w:color w:val="auto"/>
        </w:rPr>
        <w:t>绩效情况分析</w:t>
      </w:r>
    </w:p>
    <w:p>
      <w:pPr>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1</w:t>
      </w:r>
      <w:r>
        <w:rPr>
          <w:rStyle w:val="16"/>
          <w:rFonts w:ascii="仿宋_GB2312" w:hAnsi="楷体" w:eastAsia="仿宋_GB2312"/>
          <w:b w:val="0"/>
          <w:bCs w:val="0"/>
          <w:color w:val="auto"/>
          <w:spacing w:val="-4"/>
          <w:sz w:val="28"/>
          <w:szCs w:val="28"/>
        </w:rPr>
        <w:t>、成本控制情况</w:t>
      </w:r>
    </w:p>
    <w:p>
      <w:pPr>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val="en-US" w:eastAsia="zh-CN"/>
        </w:rPr>
        <w:t>特克斯县齐勒乌泽克镇卫生院</w:t>
      </w:r>
      <w:r>
        <w:rPr>
          <w:rStyle w:val="16"/>
          <w:rFonts w:hint="eastAsia" w:ascii="仿宋_GB2312" w:hAnsi="楷体" w:eastAsia="仿宋_GB2312"/>
          <w:b w:val="0"/>
          <w:color w:val="auto"/>
          <w:spacing w:val="-4"/>
          <w:sz w:val="28"/>
          <w:szCs w:val="28"/>
        </w:rPr>
        <w:t>所涉及专项项目均已于专项资金下达后按照资金文件及绩效管理要求设置《项目绩效目标表》。</w:t>
      </w:r>
      <w:r>
        <w:rPr>
          <w:rStyle w:val="16"/>
          <w:rFonts w:hint="eastAsia" w:ascii="仿宋_GB2312" w:hAnsi="楷体" w:eastAsia="仿宋_GB2312"/>
          <w:b w:val="0"/>
          <w:color w:val="auto"/>
          <w:spacing w:val="-4"/>
          <w:sz w:val="28"/>
          <w:szCs w:val="28"/>
          <w:lang w:val="en-US" w:eastAsia="zh-CN"/>
        </w:rPr>
        <w:t>3</w:t>
      </w:r>
      <w:r>
        <w:rPr>
          <w:rStyle w:val="16"/>
          <w:rFonts w:hint="eastAsia" w:ascii="仿宋_GB2312" w:hAnsi="楷体" w:eastAsia="仿宋_GB2312"/>
          <w:b w:val="0"/>
          <w:color w:val="auto"/>
          <w:spacing w:val="-4"/>
          <w:sz w:val="28"/>
          <w:szCs w:val="28"/>
        </w:rPr>
        <w:t>个专项项目预算总额为</w:t>
      </w:r>
      <w:r>
        <w:rPr>
          <w:rStyle w:val="16"/>
          <w:rFonts w:hint="eastAsia" w:ascii="仿宋_GB2312" w:hAnsi="楷体" w:eastAsia="仿宋_GB2312"/>
          <w:b w:val="0"/>
          <w:color w:val="auto"/>
          <w:spacing w:val="-4"/>
          <w:sz w:val="28"/>
          <w:szCs w:val="28"/>
          <w:lang w:val="en-US" w:eastAsia="zh-CN"/>
        </w:rPr>
        <w:t>149.45</w:t>
      </w:r>
      <w:r>
        <w:rPr>
          <w:rStyle w:val="16"/>
          <w:rFonts w:hint="eastAsia" w:ascii="仿宋_GB2312" w:hAnsi="楷体" w:eastAsia="仿宋_GB2312"/>
          <w:b w:val="0"/>
          <w:color w:val="auto"/>
          <w:spacing w:val="-4"/>
          <w:sz w:val="28"/>
          <w:szCs w:val="28"/>
        </w:rPr>
        <w:t>万元，在项目实施过程中，业务人员加强项目管理，合理控制项目成本，截止项目结束，</w:t>
      </w:r>
      <w:r>
        <w:rPr>
          <w:rStyle w:val="16"/>
          <w:rFonts w:hint="eastAsia" w:ascii="仿宋_GB2312" w:hAnsi="楷体" w:eastAsia="仿宋_GB2312"/>
          <w:b w:val="0"/>
          <w:color w:val="auto"/>
          <w:spacing w:val="-4"/>
          <w:sz w:val="28"/>
          <w:szCs w:val="28"/>
          <w:lang w:val="en-US" w:eastAsia="zh-CN"/>
        </w:rPr>
        <w:t>3</w:t>
      </w:r>
      <w:r>
        <w:rPr>
          <w:rStyle w:val="16"/>
          <w:rFonts w:hint="eastAsia" w:ascii="仿宋_GB2312" w:hAnsi="楷体" w:eastAsia="仿宋_GB2312"/>
          <w:b w:val="0"/>
          <w:color w:val="auto"/>
          <w:spacing w:val="-4"/>
          <w:sz w:val="28"/>
          <w:szCs w:val="28"/>
        </w:rPr>
        <w:t>个项目总成本为</w:t>
      </w:r>
      <w:r>
        <w:rPr>
          <w:rStyle w:val="16"/>
          <w:rFonts w:hint="eastAsia" w:ascii="仿宋_GB2312" w:hAnsi="楷体" w:eastAsia="仿宋_GB2312"/>
          <w:b w:val="0"/>
          <w:color w:val="auto"/>
          <w:spacing w:val="-4"/>
          <w:sz w:val="28"/>
          <w:szCs w:val="28"/>
          <w:lang w:val="en-US" w:eastAsia="zh-CN"/>
        </w:rPr>
        <w:t>149.45</w:t>
      </w:r>
      <w:r>
        <w:rPr>
          <w:rStyle w:val="16"/>
          <w:rFonts w:hint="eastAsia" w:ascii="仿宋_GB2312" w:hAnsi="楷体" w:eastAsia="仿宋_GB2312"/>
          <w:b w:val="0"/>
          <w:color w:val="auto"/>
          <w:spacing w:val="-4"/>
          <w:sz w:val="28"/>
          <w:szCs w:val="28"/>
        </w:rPr>
        <w:t>万元，不存在超支情况。</w:t>
      </w:r>
    </w:p>
    <w:p>
      <w:pPr>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2</w:t>
      </w:r>
      <w:r>
        <w:rPr>
          <w:rStyle w:val="16"/>
          <w:rFonts w:ascii="仿宋_GB2312" w:hAnsi="楷体" w:eastAsia="仿宋_GB2312"/>
          <w:b w:val="0"/>
          <w:bCs w:val="0"/>
          <w:color w:val="auto"/>
          <w:spacing w:val="-4"/>
          <w:sz w:val="28"/>
          <w:szCs w:val="28"/>
        </w:rPr>
        <w:t>、成本节约情况</w:t>
      </w:r>
    </w:p>
    <w:p>
      <w:pPr>
        <w:ind w:firstLine="544" w:firstLineChars="200"/>
        <w:rPr>
          <w:rStyle w:val="16"/>
          <w:rFonts w:hint="eastAsia" w:ascii="仿宋_GB2312" w:hAnsi="楷体" w:eastAsia="仿宋_GB2312"/>
          <w:b w:val="0"/>
          <w:color w:val="auto"/>
          <w:spacing w:val="-4"/>
          <w:sz w:val="28"/>
          <w:szCs w:val="28"/>
          <w:lang w:val="en-US" w:eastAsia="zh-CN"/>
        </w:rPr>
      </w:pPr>
      <w:r>
        <w:rPr>
          <w:rStyle w:val="16"/>
          <w:rFonts w:hint="eastAsia" w:ascii="仿宋_GB2312" w:hAnsi="楷体" w:eastAsia="仿宋_GB2312"/>
          <w:b w:val="0"/>
          <w:color w:val="auto"/>
          <w:spacing w:val="-4"/>
          <w:sz w:val="28"/>
          <w:szCs w:val="28"/>
          <w:lang w:val="en-US" w:eastAsia="zh-CN"/>
        </w:rPr>
        <w:t>特克斯县齐勒乌泽克镇卫生院</w:t>
      </w:r>
      <w:r>
        <w:rPr>
          <w:rStyle w:val="16"/>
          <w:rFonts w:hint="eastAsia" w:ascii="仿宋_GB2312" w:hAnsi="楷体" w:eastAsia="仿宋_GB2312"/>
          <w:b w:val="0"/>
          <w:color w:val="auto"/>
          <w:spacing w:val="-4"/>
          <w:sz w:val="28"/>
          <w:szCs w:val="28"/>
        </w:rPr>
        <w:t>所涉及专项项目使用资金比专项项目总预算减少</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w:t>
      </w:r>
      <w:bookmarkStart w:id="22" w:name="_Hlk96097132"/>
      <w:r>
        <w:rPr>
          <w:rStyle w:val="16"/>
          <w:rFonts w:hint="eastAsia" w:ascii="仿宋_GB2312" w:hAnsi="楷体" w:eastAsia="仿宋_GB2312"/>
          <w:b w:val="0"/>
          <w:color w:val="auto"/>
          <w:spacing w:val="-4"/>
          <w:sz w:val="28"/>
          <w:szCs w:val="28"/>
        </w:rPr>
        <w:t>项目节约率</w:t>
      </w:r>
      <w:bookmarkEnd w:id="22"/>
      <w:r>
        <w:rPr>
          <w:rStyle w:val="16"/>
          <w:rFonts w:hint="eastAsia" w:ascii="仿宋_GB2312" w:hAnsi="楷体" w:eastAsia="仿宋_GB2312"/>
          <w:b w:val="0"/>
          <w:color w:val="auto"/>
          <w:spacing w:val="-4"/>
          <w:sz w:val="28"/>
          <w:szCs w:val="28"/>
          <w:lang w:val="en-US" w:eastAsia="zh-CN"/>
        </w:rPr>
        <w:t xml:space="preserve">0 </w:t>
      </w:r>
      <w:r>
        <w:rPr>
          <w:rStyle w:val="16"/>
          <w:rFonts w:hint="eastAsia" w:ascii="仿宋_GB2312" w:hAnsi="楷体" w:eastAsia="仿宋_GB2312"/>
          <w:b w:val="0"/>
          <w:color w:val="auto"/>
          <w:spacing w:val="-4"/>
          <w:sz w:val="28"/>
          <w:szCs w:val="28"/>
        </w:rPr>
        <w:t>%</w:t>
      </w:r>
      <w:r>
        <w:rPr>
          <w:rStyle w:val="16"/>
          <w:rFonts w:hint="eastAsia" w:ascii="仿宋_GB2312" w:hAnsi="楷体" w:eastAsia="仿宋_GB2312"/>
          <w:b w:val="0"/>
          <w:color w:val="auto"/>
          <w:spacing w:val="-4"/>
          <w:sz w:val="28"/>
          <w:szCs w:val="28"/>
          <w:lang w:val="en-US" w:eastAsia="zh-CN"/>
        </w:rPr>
        <w:t>.</w:t>
      </w:r>
    </w:p>
    <w:p>
      <w:pPr>
        <w:pStyle w:val="5"/>
        <w:numPr>
          <w:ilvl w:val="0"/>
          <w:numId w:val="1"/>
        </w:numPr>
        <w:spacing w:line="360" w:lineRule="auto"/>
        <w:rPr>
          <w:rStyle w:val="16"/>
          <w:rFonts w:hint="eastAsia" w:ascii="仿宋" w:hAnsi="仿宋" w:eastAsia="仿宋"/>
          <w:b/>
          <w:bCs/>
          <w:color w:val="auto"/>
        </w:rPr>
      </w:pPr>
      <w:r>
        <w:rPr>
          <w:rStyle w:val="16"/>
          <w:rFonts w:hint="eastAsia" w:ascii="仿宋" w:hAnsi="仿宋" w:eastAsia="仿宋"/>
          <w:b/>
          <w:bCs/>
          <w:color w:val="auto"/>
        </w:rPr>
        <w:t>项目效率性分析</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1、实施进度</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2021年</w:t>
      </w:r>
      <w:r>
        <w:rPr>
          <w:rStyle w:val="16"/>
          <w:rFonts w:hint="eastAsia" w:ascii="仿宋_GB2312" w:hAnsi="楷体" w:eastAsia="仿宋_GB2312"/>
          <w:b w:val="0"/>
          <w:color w:val="auto"/>
          <w:spacing w:val="-4"/>
          <w:sz w:val="28"/>
          <w:szCs w:val="28"/>
          <w:lang w:val="en-US" w:eastAsia="zh-CN"/>
        </w:rPr>
        <w:t>特克斯县齐勒乌泽克镇卫生院</w:t>
      </w:r>
      <w:r>
        <w:rPr>
          <w:rStyle w:val="16"/>
          <w:rFonts w:hint="eastAsia" w:ascii="仿宋_GB2312" w:hAnsi="楷体" w:eastAsia="仿宋_GB2312"/>
          <w:b w:val="0"/>
          <w:color w:val="auto"/>
          <w:spacing w:val="-4"/>
          <w:sz w:val="28"/>
          <w:szCs w:val="28"/>
        </w:rPr>
        <w:t>共涉及专项项目</w:t>
      </w:r>
      <w:r>
        <w:rPr>
          <w:rStyle w:val="16"/>
          <w:rFonts w:hint="eastAsia" w:ascii="仿宋_GB2312" w:hAnsi="楷体" w:eastAsia="仿宋_GB2312"/>
          <w:b w:val="0"/>
          <w:color w:val="auto"/>
          <w:spacing w:val="-4"/>
          <w:sz w:val="28"/>
          <w:szCs w:val="28"/>
          <w:lang w:val="en-US" w:eastAsia="zh-CN"/>
        </w:rPr>
        <w:t>3</w:t>
      </w:r>
      <w:r>
        <w:rPr>
          <w:rStyle w:val="16"/>
          <w:rFonts w:hint="eastAsia" w:ascii="仿宋_GB2312" w:hAnsi="楷体" w:eastAsia="仿宋_GB2312"/>
          <w:b w:val="0"/>
          <w:color w:val="auto"/>
          <w:spacing w:val="-4"/>
          <w:sz w:val="28"/>
          <w:szCs w:val="28"/>
        </w:rPr>
        <w:t>个，截止到202</w:t>
      </w:r>
      <w:r>
        <w:rPr>
          <w:rStyle w:val="16"/>
          <w:rFonts w:hint="eastAsia" w:ascii="仿宋_GB2312" w:hAnsi="楷体" w:eastAsia="仿宋_GB2312"/>
          <w:b w:val="0"/>
          <w:color w:val="auto"/>
          <w:spacing w:val="-4"/>
          <w:sz w:val="28"/>
          <w:szCs w:val="28"/>
          <w:lang w:val="en-US" w:eastAsia="zh-CN"/>
        </w:rPr>
        <w:t>1</w:t>
      </w:r>
      <w:r>
        <w:rPr>
          <w:rStyle w:val="16"/>
          <w:rFonts w:hint="eastAsia" w:ascii="仿宋_GB2312" w:hAnsi="楷体" w:eastAsia="仿宋_GB2312"/>
          <w:b w:val="0"/>
          <w:color w:val="auto"/>
          <w:spacing w:val="-4"/>
          <w:sz w:val="28"/>
          <w:szCs w:val="28"/>
        </w:rPr>
        <w:t>年底，通过专项项目实施过程中的有效监督，我单位按预期完成了</w:t>
      </w:r>
      <w:r>
        <w:rPr>
          <w:rStyle w:val="16"/>
          <w:rFonts w:hint="eastAsia" w:ascii="仿宋_GB2312" w:hAnsi="楷体" w:eastAsia="仿宋_GB2312"/>
          <w:b w:val="0"/>
          <w:color w:val="auto"/>
          <w:spacing w:val="-4"/>
          <w:sz w:val="28"/>
          <w:szCs w:val="28"/>
          <w:lang w:val="en-US" w:eastAsia="zh-CN"/>
        </w:rPr>
        <w:t>3</w:t>
      </w:r>
      <w:r>
        <w:rPr>
          <w:rStyle w:val="16"/>
          <w:rFonts w:hint="eastAsia" w:ascii="仿宋_GB2312" w:hAnsi="楷体" w:eastAsia="仿宋_GB2312"/>
          <w:b w:val="0"/>
          <w:color w:val="auto"/>
          <w:spacing w:val="-4"/>
          <w:sz w:val="28"/>
          <w:szCs w:val="28"/>
        </w:rPr>
        <w:t>个专项的各项专项任务，项目总体完成率为</w:t>
      </w:r>
      <w:r>
        <w:rPr>
          <w:rStyle w:val="16"/>
          <w:rFonts w:hint="eastAsia" w:ascii="仿宋_GB2312" w:hAnsi="楷体" w:eastAsia="仿宋_GB2312"/>
          <w:b w:val="0"/>
          <w:color w:val="auto"/>
          <w:spacing w:val="-4"/>
          <w:sz w:val="28"/>
          <w:szCs w:val="28"/>
          <w:lang w:val="en-US" w:eastAsia="zh-CN"/>
        </w:rPr>
        <w:t>100</w:t>
      </w:r>
      <w:r>
        <w:rPr>
          <w:rStyle w:val="16"/>
          <w:rFonts w:hint="eastAsia" w:ascii="仿宋_GB2312" w:hAnsi="楷体" w:eastAsia="仿宋_GB2312"/>
          <w:b w:val="0"/>
          <w:color w:val="auto"/>
          <w:spacing w:val="-4"/>
          <w:sz w:val="28"/>
          <w:szCs w:val="28"/>
        </w:rPr>
        <w:t>%。</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2、完成质量</w:t>
      </w:r>
    </w:p>
    <w:p>
      <w:pPr>
        <w:spacing w:line="360" w:lineRule="auto"/>
        <w:ind w:firstLine="544" w:firstLineChars="200"/>
        <w:rPr>
          <w:rStyle w:val="16"/>
          <w:rFonts w:hint="eastAsia" w:ascii="仿宋_GB2312" w:hAnsi="楷体" w:eastAsia="仿宋_GB2312"/>
          <w:b w:val="0"/>
          <w:spacing w:val="-4"/>
          <w:sz w:val="28"/>
          <w:szCs w:val="28"/>
          <w:highlight w:val="none"/>
        </w:rPr>
      </w:pPr>
      <w:bookmarkStart w:id="23" w:name="_Hlk96100380"/>
      <w:r>
        <w:rPr>
          <w:rStyle w:val="16"/>
          <w:rFonts w:hint="eastAsia" w:ascii="仿宋_GB2312" w:hAnsi="楷体" w:eastAsia="仿宋_GB2312"/>
          <w:b w:val="0"/>
          <w:spacing w:val="-4"/>
          <w:sz w:val="28"/>
          <w:szCs w:val="28"/>
          <w:highlight w:val="none"/>
          <w:lang w:val="en-US" w:eastAsia="zh-CN"/>
        </w:rPr>
        <w:t>3</w:t>
      </w:r>
      <w:r>
        <w:rPr>
          <w:rStyle w:val="16"/>
          <w:rFonts w:hint="eastAsia" w:ascii="仿宋_GB2312" w:hAnsi="楷体" w:eastAsia="仿宋_GB2312"/>
          <w:b w:val="0"/>
          <w:spacing w:val="-4"/>
          <w:sz w:val="28"/>
          <w:szCs w:val="28"/>
          <w:highlight w:val="none"/>
        </w:rPr>
        <w:t>个专项项目完成质量情况如下：</w:t>
      </w:r>
      <w:bookmarkEnd w:id="23"/>
    </w:p>
    <w:p>
      <w:p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color w:val="auto"/>
          <w:spacing w:val="-4"/>
          <w:sz w:val="28"/>
          <w:szCs w:val="28"/>
          <w:highlight w:val="none"/>
          <w:lang w:val="en-US" w:eastAsia="zh-CN"/>
        </w:rPr>
        <w:t>1、</w:t>
      </w:r>
      <w:r>
        <w:rPr>
          <w:rStyle w:val="16"/>
          <w:rFonts w:hint="eastAsia" w:ascii="仿宋_GB2312" w:hAnsi="楷体" w:eastAsia="仿宋_GB2312"/>
          <w:b w:val="0"/>
          <w:color w:val="auto"/>
          <w:spacing w:val="-4"/>
          <w:sz w:val="28"/>
          <w:szCs w:val="28"/>
          <w:highlight w:val="none"/>
        </w:rPr>
        <w:t>全民健康体检项目</w:t>
      </w:r>
      <w:r>
        <w:rPr>
          <w:rStyle w:val="16"/>
          <w:rFonts w:hint="eastAsia" w:ascii="仿宋_GB2312" w:hAnsi="楷体" w:eastAsia="仿宋_GB2312"/>
          <w:b w:val="0"/>
          <w:color w:val="auto"/>
          <w:spacing w:val="-4"/>
          <w:sz w:val="28"/>
          <w:szCs w:val="28"/>
          <w:highlight w:val="none"/>
          <w:lang w:eastAsia="zh-CN"/>
        </w:rPr>
        <w:t>；</w:t>
      </w:r>
      <w:r>
        <w:rPr>
          <w:rStyle w:val="16"/>
          <w:rFonts w:hint="eastAsia" w:ascii="仿宋_GB2312" w:hAnsi="楷体" w:eastAsia="仿宋_GB2312"/>
          <w:b w:val="0"/>
          <w:color w:val="auto"/>
          <w:spacing w:val="-4"/>
          <w:sz w:val="28"/>
          <w:szCs w:val="28"/>
          <w:highlight w:val="none"/>
        </w:rPr>
        <w:t>完成开展全民健康体检工作，体检覆盖率100%；全民健康体检信息系统建设率100%；居民健康档案规范化电子建档率93.05%；全民健康体检设备到位率100%；居民健康保健意识和知晓率逐步提高；居民健康水平提高。</w:t>
      </w:r>
    </w:p>
    <w:p>
      <w:p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color w:val="auto"/>
          <w:spacing w:val="-4"/>
          <w:sz w:val="28"/>
          <w:szCs w:val="28"/>
          <w:highlight w:val="none"/>
          <w:lang w:val="en-US" w:eastAsia="zh-CN"/>
        </w:rPr>
        <w:t>2、基本药物补助项目适应基本医疗卫生需求，剂型适宜，价格合理，能够保障供应，公众可公平获得的药品。政府举办的基层医疗卫生机构全部配备和使用基本药物，其他各类医疗机构也都必须按规定使用基本药物。乡村医生补助足额到位，进一步提升基层医疗卫生服务水平，医改政策惠及民生，满足辖区群众对村级医疗工作的需求</w:t>
      </w:r>
    </w:p>
    <w:p>
      <w:pPr>
        <w:spacing w:line="360" w:lineRule="auto"/>
        <w:ind w:firstLine="544" w:firstLineChars="200"/>
        <w:rPr>
          <w:rStyle w:val="16"/>
          <w:rFonts w:hint="eastAsia" w:ascii="仿宋_GB2312" w:hAnsi="楷体" w:eastAsia="仿宋_GB2312" w:cs="Times New Roman"/>
          <w:b w:val="0"/>
          <w:color w:val="auto"/>
          <w:spacing w:val="-4"/>
          <w:kern w:val="2"/>
          <w:sz w:val="28"/>
          <w:szCs w:val="28"/>
          <w:highlight w:val="none"/>
          <w:lang w:val="en-US" w:eastAsia="zh-CN" w:bidi="ar-SA"/>
        </w:rPr>
      </w:pPr>
      <w:r>
        <w:rPr>
          <w:rStyle w:val="16"/>
          <w:rFonts w:hint="eastAsia" w:ascii="仿宋_GB2312" w:hAnsi="楷体" w:eastAsia="仿宋_GB2312" w:cs="Times New Roman"/>
          <w:b w:val="0"/>
          <w:color w:val="auto"/>
          <w:spacing w:val="-4"/>
          <w:kern w:val="2"/>
          <w:sz w:val="28"/>
          <w:szCs w:val="28"/>
          <w:highlight w:val="none"/>
          <w:lang w:val="en-US" w:eastAsia="zh-CN" w:bidi="ar-SA"/>
        </w:rPr>
        <w:t>3、基本公共卫生服务项目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w:t>
      </w:r>
    </w:p>
    <w:p>
      <w:pPr>
        <w:pStyle w:val="5"/>
        <w:numPr>
          <w:numId w:val="0"/>
        </w:numPr>
        <w:spacing w:line="360" w:lineRule="auto"/>
        <w:ind w:left="562" w:leftChars="0"/>
        <w:rPr>
          <w:rStyle w:val="16"/>
          <w:rFonts w:hint="eastAsia" w:ascii="仿宋" w:hAnsi="仿宋" w:eastAsia="仿宋" w:cs="Times New Roman"/>
          <w:b/>
          <w:bCs/>
          <w:color w:val="auto"/>
        </w:rPr>
      </w:pPr>
      <w:r>
        <w:rPr>
          <w:rStyle w:val="16"/>
          <w:rFonts w:hint="eastAsia" w:ascii="仿宋" w:hAnsi="仿宋" w:eastAsia="仿宋" w:cs="Times New Roman"/>
          <w:b/>
          <w:bCs/>
          <w:color w:val="auto"/>
          <w:lang w:val="en-US" w:eastAsia="zh-CN"/>
        </w:rPr>
        <w:t>（六）</w:t>
      </w:r>
      <w:r>
        <w:rPr>
          <w:rStyle w:val="16"/>
          <w:rFonts w:hint="eastAsia" w:ascii="仿宋" w:hAnsi="仿宋" w:eastAsia="仿宋" w:cs="Times New Roman"/>
          <w:b/>
          <w:bCs/>
          <w:color w:val="auto"/>
        </w:rPr>
        <w:t>项目效益性分析</w:t>
      </w:r>
    </w:p>
    <w:p>
      <w:pPr>
        <w:spacing w:line="360" w:lineRule="auto"/>
        <w:ind w:firstLine="544" w:firstLineChars="200"/>
        <w:rPr>
          <w:rStyle w:val="16"/>
          <w:rFonts w:hint="eastAsia" w:ascii="仿宋_GB2312" w:hAnsi="楷体" w:eastAsia="仿宋_GB2312" w:cs="Times New Roman"/>
          <w:b w:val="0"/>
          <w:color w:val="auto"/>
          <w:spacing w:val="-4"/>
          <w:kern w:val="2"/>
          <w:sz w:val="28"/>
          <w:szCs w:val="28"/>
          <w:highlight w:val="none"/>
          <w:lang w:val="en-US" w:eastAsia="zh-CN" w:bidi="ar-SA"/>
        </w:rPr>
      </w:pPr>
      <w:r>
        <w:rPr>
          <w:rStyle w:val="16"/>
          <w:rFonts w:hint="eastAsia" w:ascii="仿宋_GB2312" w:hAnsi="楷体" w:eastAsia="仿宋_GB2312" w:cs="Times New Roman"/>
          <w:b w:val="0"/>
          <w:color w:val="auto"/>
          <w:spacing w:val="-4"/>
          <w:kern w:val="2"/>
          <w:sz w:val="28"/>
          <w:szCs w:val="28"/>
          <w:highlight w:val="none"/>
          <w:lang w:val="en-US" w:eastAsia="zh-CN" w:bidi="ar-SA"/>
        </w:rPr>
        <w:t>3个专项项目预期目标完成程度、实施对经济和社会的影响如下</w:t>
      </w:r>
    </w:p>
    <w:p>
      <w:pPr>
        <w:spacing w:line="360" w:lineRule="auto"/>
        <w:ind w:firstLine="544" w:firstLineChars="200"/>
        <w:rPr>
          <w:rStyle w:val="16"/>
          <w:rFonts w:hint="eastAsia" w:ascii="仿宋_GB2312" w:hAnsi="楷体" w:eastAsia="仿宋_GB2312" w:cs="Times New Roman"/>
          <w:b w:val="0"/>
          <w:color w:val="auto"/>
          <w:spacing w:val="-4"/>
          <w:kern w:val="2"/>
          <w:sz w:val="28"/>
          <w:szCs w:val="28"/>
          <w:highlight w:val="none"/>
          <w:lang w:val="en-US" w:eastAsia="zh-CN" w:bidi="ar-SA"/>
        </w:rPr>
      </w:pPr>
      <w:r>
        <w:rPr>
          <w:rStyle w:val="16"/>
          <w:rFonts w:hint="eastAsia" w:ascii="仿宋_GB2312" w:hAnsi="楷体" w:eastAsia="仿宋_GB2312" w:cs="Times New Roman"/>
          <w:b w:val="0"/>
          <w:color w:val="auto"/>
          <w:spacing w:val="-4"/>
          <w:kern w:val="2"/>
          <w:sz w:val="28"/>
          <w:szCs w:val="28"/>
          <w:highlight w:val="none"/>
          <w:lang w:val="en-US" w:eastAsia="zh-CN" w:bidi="ar-SA"/>
        </w:rPr>
        <w:t>1、基本公共卫生项目促进基本公共卫生服务逐步均等化的重要内容，是深化医药卫生体制改革的重要工作。</w:t>
      </w:r>
    </w:p>
    <w:p>
      <w:pPr>
        <w:spacing w:line="360" w:lineRule="auto"/>
        <w:ind w:firstLine="544" w:firstLineChars="200"/>
        <w:rPr>
          <w:rStyle w:val="16"/>
          <w:rFonts w:hint="eastAsia" w:ascii="仿宋_GB2312" w:hAnsi="楷体" w:eastAsia="仿宋_GB2312" w:cs="Times New Roman"/>
          <w:b w:val="0"/>
          <w:color w:val="auto"/>
          <w:spacing w:val="-4"/>
          <w:kern w:val="2"/>
          <w:sz w:val="28"/>
          <w:szCs w:val="28"/>
          <w:highlight w:val="none"/>
          <w:lang w:val="en-US" w:eastAsia="zh-CN" w:bidi="ar-SA"/>
        </w:rPr>
      </w:pPr>
      <w:r>
        <w:rPr>
          <w:rStyle w:val="16"/>
          <w:rFonts w:hint="eastAsia" w:ascii="仿宋_GB2312" w:hAnsi="楷体" w:eastAsia="仿宋_GB2312" w:cs="Times New Roman"/>
          <w:b w:val="0"/>
          <w:color w:val="auto"/>
          <w:spacing w:val="-4"/>
          <w:kern w:val="2"/>
          <w:sz w:val="28"/>
          <w:szCs w:val="28"/>
          <w:highlight w:val="none"/>
          <w:lang w:val="en-US" w:eastAsia="zh-CN" w:bidi="ar-SA"/>
        </w:rPr>
        <w:t>2、全民健康体检项目；完成有效提高提升公共卫生均等化水平，有效保障保障本县居民的身体健康。</w:t>
      </w:r>
    </w:p>
    <w:p>
      <w:pPr>
        <w:spacing w:line="360" w:lineRule="auto"/>
        <w:ind w:firstLine="544" w:firstLineChars="200"/>
        <w:rPr>
          <w:rStyle w:val="16"/>
          <w:rFonts w:hint="eastAsia" w:ascii="仿宋_GB2312" w:hAnsi="楷体" w:eastAsia="仿宋_GB2312" w:cs="Times New Roman"/>
          <w:b w:val="0"/>
          <w:color w:val="auto"/>
          <w:spacing w:val="-4"/>
          <w:kern w:val="2"/>
          <w:sz w:val="28"/>
          <w:szCs w:val="28"/>
          <w:highlight w:val="none"/>
          <w:lang w:val="en-US" w:eastAsia="zh-CN" w:bidi="ar-SA"/>
        </w:rPr>
      </w:pPr>
      <w:r>
        <w:rPr>
          <w:rStyle w:val="16"/>
          <w:rFonts w:hint="eastAsia" w:ascii="仿宋_GB2312" w:hAnsi="楷体" w:eastAsia="仿宋_GB2312" w:cs="Times New Roman"/>
          <w:b w:val="0"/>
          <w:color w:val="auto"/>
          <w:spacing w:val="-4"/>
          <w:kern w:val="2"/>
          <w:sz w:val="28"/>
          <w:szCs w:val="28"/>
          <w:highlight w:val="none"/>
          <w:lang w:val="en-US" w:eastAsia="zh-CN" w:bidi="ar-SA"/>
        </w:rPr>
        <w:t>3、基本药物补助项目保障全区所有政府办基层医疗卫生机构实施国家基本药物制度，推进综合改革顺利进行。对实施国家基本药物制度的村卫生室给予补助，支持国家基本药物制度在村卫生室顺利实施。</w:t>
      </w:r>
    </w:p>
    <w:p>
      <w:pPr>
        <w:ind w:firstLine="544" w:firstLineChars="200"/>
        <w:rPr>
          <w:rStyle w:val="16"/>
          <w:rFonts w:hint="eastAsia" w:ascii="仿宋_GB2312" w:hAnsi="楷体" w:eastAsia="仿宋_GB2312"/>
          <w:b w:val="0"/>
          <w:bCs w:val="0"/>
          <w:color w:val="auto"/>
          <w:spacing w:val="-4"/>
          <w:sz w:val="28"/>
          <w:szCs w:val="28"/>
        </w:rPr>
      </w:pPr>
    </w:p>
    <w:p>
      <w:pPr>
        <w:rPr>
          <w:rFonts w:hint="eastAsia"/>
          <w:color w:val="auto"/>
        </w:rPr>
      </w:pPr>
    </w:p>
    <w:p>
      <w:pPr>
        <w:pStyle w:val="3"/>
        <w:spacing w:line="360" w:lineRule="auto"/>
        <w:rPr>
          <w:rFonts w:ascii="仿宋" w:hAnsi="仿宋" w:eastAsia="仿宋"/>
          <w:color w:val="auto"/>
          <w:sz w:val="36"/>
          <w:szCs w:val="36"/>
          <w:lang w:bidi="ar"/>
        </w:rPr>
      </w:pPr>
      <w:bookmarkStart w:id="24" w:name="_Toc70450310"/>
      <w:r>
        <w:rPr>
          <w:rFonts w:hint="eastAsia" w:ascii="仿宋" w:hAnsi="仿宋" w:eastAsia="仿宋"/>
          <w:color w:val="auto"/>
          <w:sz w:val="36"/>
          <w:szCs w:val="36"/>
          <w:lang w:bidi="ar"/>
        </w:rPr>
        <w:t>四、资产管理情况</w:t>
      </w:r>
      <w:bookmarkEnd w:id="24"/>
    </w:p>
    <w:p>
      <w:pPr>
        <w:pStyle w:val="4"/>
        <w:spacing w:line="360" w:lineRule="auto"/>
        <w:rPr>
          <w:rStyle w:val="16"/>
          <w:rFonts w:ascii="仿宋" w:hAnsi="仿宋" w:eastAsia="仿宋"/>
          <w:b/>
          <w:bCs/>
          <w:color w:val="auto"/>
        </w:rPr>
      </w:pPr>
      <w:bookmarkStart w:id="25" w:name="_Toc70450311"/>
      <w:r>
        <w:rPr>
          <w:rStyle w:val="16"/>
          <w:rFonts w:hint="eastAsia" w:ascii="仿宋" w:hAnsi="仿宋" w:eastAsia="仿宋"/>
          <w:b/>
          <w:bCs/>
          <w:color w:val="auto"/>
        </w:rPr>
        <w:t>（一）资产配置情况</w:t>
      </w:r>
      <w:bookmarkEnd w:id="25"/>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202</w:t>
      </w:r>
      <w:r>
        <w:rPr>
          <w:rStyle w:val="16"/>
          <w:rFonts w:hint="eastAsia" w:ascii="仿宋_GB2312" w:hAnsi="宋体" w:eastAsia="仿宋_GB2312"/>
          <w:b w:val="0"/>
          <w:bCs w:val="0"/>
          <w:color w:val="auto"/>
          <w:spacing w:val="-4"/>
          <w:sz w:val="28"/>
          <w:szCs w:val="28"/>
          <w:lang w:val="en-US" w:eastAsia="zh-CN"/>
        </w:rPr>
        <w:t>1</w:t>
      </w:r>
      <w:r>
        <w:rPr>
          <w:rStyle w:val="16"/>
          <w:rFonts w:hint="eastAsia" w:ascii="仿宋_GB2312" w:hAnsi="宋体" w:eastAsia="仿宋_GB2312"/>
          <w:b w:val="0"/>
          <w:bCs w:val="0"/>
          <w:color w:val="auto"/>
          <w:spacing w:val="-4"/>
          <w:sz w:val="28"/>
          <w:szCs w:val="28"/>
        </w:rPr>
        <w:t>年我</w:t>
      </w:r>
      <w:r>
        <w:rPr>
          <w:rStyle w:val="16"/>
          <w:rFonts w:hint="eastAsia" w:ascii="仿宋_GB2312" w:hAnsi="楷体" w:eastAsia="仿宋_GB2312"/>
          <w:b w:val="0"/>
          <w:color w:val="auto"/>
          <w:spacing w:val="-4"/>
          <w:sz w:val="28"/>
          <w:szCs w:val="28"/>
        </w:rPr>
        <w:t>部门</w:t>
      </w:r>
      <w:r>
        <w:rPr>
          <w:rStyle w:val="16"/>
          <w:rFonts w:hint="eastAsia" w:ascii="仿宋_GB2312" w:hAnsi="宋体" w:eastAsia="仿宋_GB2312"/>
          <w:b w:val="0"/>
          <w:bCs w:val="0"/>
          <w:color w:val="auto"/>
          <w:spacing w:val="-4"/>
          <w:sz w:val="28"/>
          <w:szCs w:val="28"/>
        </w:rPr>
        <w:t>资产总额</w:t>
      </w:r>
      <w:r>
        <w:rPr>
          <w:rStyle w:val="16"/>
          <w:rFonts w:hint="eastAsia" w:ascii="仿宋_GB2312" w:hAnsi="宋体" w:eastAsia="仿宋_GB2312"/>
          <w:b w:val="0"/>
          <w:bCs w:val="0"/>
          <w:color w:val="auto"/>
          <w:spacing w:val="-4"/>
          <w:sz w:val="28"/>
          <w:szCs w:val="28"/>
          <w:lang w:val="en-US" w:eastAsia="zh-CN"/>
        </w:rPr>
        <w:t>544.86</w:t>
      </w:r>
      <w:r>
        <w:rPr>
          <w:rStyle w:val="16"/>
          <w:rFonts w:hint="eastAsia" w:ascii="仿宋_GB2312" w:hAnsi="宋体" w:eastAsia="仿宋_GB2312"/>
          <w:b w:val="0"/>
          <w:bCs w:val="0"/>
          <w:color w:val="auto"/>
          <w:spacing w:val="-4"/>
          <w:sz w:val="28"/>
          <w:szCs w:val="28"/>
        </w:rPr>
        <w:t>万元，其中流动资产</w:t>
      </w:r>
      <w:r>
        <w:rPr>
          <w:rStyle w:val="16"/>
          <w:rFonts w:hint="eastAsia" w:ascii="仿宋_GB2312" w:hAnsi="宋体" w:eastAsia="仿宋_GB2312"/>
          <w:b w:val="0"/>
          <w:bCs w:val="0"/>
          <w:color w:val="auto"/>
          <w:spacing w:val="-4"/>
          <w:sz w:val="28"/>
          <w:szCs w:val="28"/>
          <w:lang w:val="en-US" w:eastAsia="zh-CN"/>
        </w:rPr>
        <w:t>168.38</w:t>
      </w:r>
      <w:r>
        <w:rPr>
          <w:rStyle w:val="16"/>
          <w:rFonts w:hint="eastAsia" w:ascii="仿宋_GB2312" w:hAnsi="宋体" w:eastAsia="仿宋_GB2312"/>
          <w:b w:val="0"/>
          <w:bCs w:val="0"/>
          <w:color w:val="auto"/>
          <w:spacing w:val="-4"/>
          <w:sz w:val="28"/>
          <w:szCs w:val="28"/>
        </w:rPr>
        <w:t>万元，固定资产净值375.53万元（其中：土地、房屋及构筑物303.67万元，占固定资产净值的</w:t>
      </w:r>
      <w:r>
        <w:rPr>
          <w:rStyle w:val="16"/>
          <w:rFonts w:hint="eastAsia" w:ascii="仿宋_GB2312" w:hAnsi="宋体" w:eastAsia="仿宋_GB2312"/>
          <w:b w:val="0"/>
          <w:bCs w:val="0"/>
          <w:color w:val="auto"/>
          <w:spacing w:val="-4"/>
          <w:sz w:val="28"/>
          <w:szCs w:val="28"/>
          <w:lang w:val="en-US" w:eastAsia="zh-CN"/>
        </w:rPr>
        <w:t>80.86</w:t>
      </w:r>
      <w:r>
        <w:rPr>
          <w:rStyle w:val="16"/>
          <w:rFonts w:hint="eastAsia" w:ascii="仿宋_GB2312" w:hAnsi="宋体" w:eastAsia="仿宋_GB2312"/>
          <w:b w:val="0"/>
          <w:bCs w:val="0"/>
          <w:color w:val="auto"/>
          <w:spacing w:val="-4"/>
          <w:sz w:val="28"/>
          <w:szCs w:val="28"/>
        </w:rPr>
        <w:t>%；通用设备</w:t>
      </w:r>
      <w:r>
        <w:rPr>
          <w:rStyle w:val="16"/>
          <w:rFonts w:hint="eastAsia" w:ascii="仿宋_GB2312" w:hAnsi="宋体" w:eastAsia="仿宋_GB2312"/>
          <w:b w:val="0"/>
          <w:bCs w:val="0"/>
          <w:color w:val="auto"/>
          <w:spacing w:val="-4"/>
          <w:sz w:val="28"/>
          <w:szCs w:val="28"/>
          <w:lang w:val="en-US" w:eastAsia="zh-CN"/>
        </w:rPr>
        <w:t>0</w:t>
      </w:r>
      <w:r>
        <w:rPr>
          <w:rStyle w:val="16"/>
          <w:rFonts w:hint="eastAsia" w:ascii="仿宋_GB2312" w:hAnsi="宋体" w:eastAsia="仿宋_GB2312"/>
          <w:b w:val="0"/>
          <w:bCs w:val="0"/>
          <w:color w:val="auto"/>
          <w:spacing w:val="-4"/>
          <w:sz w:val="28"/>
          <w:szCs w:val="28"/>
        </w:rPr>
        <w:t>万元，占固定资产净值的</w:t>
      </w:r>
      <w:r>
        <w:rPr>
          <w:rStyle w:val="16"/>
          <w:rFonts w:hint="eastAsia" w:ascii="仿宋_GB2312" w:hAnsi="宋体" w:eastAsia="仿宋_GB2312"/>
          <w:b w:val="0"/>
          <w:bCs w:val="0"/>
          <w:color w:val="auto"/>
          <w:spacing w:val="-4"/>
          <w:sz w:val="28"/>
          <w:szCs w:val="28"/>
          <w:lang w:val="en-US" w:eastAsia="zh-CN"/>
        </w:rPr>
        <w:t>0</w:t>
      </w:r>
      <w:r>
        <w:rPr>
          <w:rStyle w:val="16"/>
          <w:rFonts w:hint="eastAsia" w:ascii="仿宋_GB2312" w:hAnsi="宋体" w:eastAsia="仿宋_GB2312"/>
          <w:b w:val="0"/>
          <w:bCs w:val="0"/>
          <w:color w:val="auto"/>
          <w:spacing w:val="-4"/>
          <w:sz w:val="28"/>
          <w:szCs w:val="28"/>
        </w:rPr>
        <w:t>%；专用设备</w:t>
      </w:r>
      <w:r>
        <w:rPr>
          <w:rStyle w:val="16"/>
          <w:rFonts w:hint="eastAsia" w:ascii="仿宋_GB2312" w:hAnsi="宋体" w:eastAsia="仿宋_GB2312"/>
          <w:b w:val="0"/>
          <w:bCs w:val="0"/>
          <w:color w:val="auto"/>
          <w:spacing w:val="-4"/>
          <w:sz w:val="28"/>
          <w:szCs w:val="28"/>
          <w:lang w:val="en-US" w:eastAsia="zh-CN"/>
        </w:rPr>
        <w:t>0</w:t>
      </w:r>
      <w:r>
        <w:rPr>
          <w:rStyle w:val="16"/>
          <w:rFonts w:hint="eastAsia" w:ascii="仿宋_GB2312" w:hAnsi="宋体" w:eastAsia="仿宋_GB2312"/>
          <w:b w:val="0"/>
          <w:bCs w:val="0"/>
          <w:color w:val="auto"/>
          <w:spacing w:val="-4"/>
          <w:sz w:val="28"/>
          <w:szCs w:val="28"/>
        </w:rPr>
        <w:t>万元，占固定资产净值的</w:t>
      </w:r>
      <w:r>
        <w:rPr>
          <w:rStyle w:val="16"/>
          <w:rFonts w:hint="eastAsia" w:ascii="仿宋_GB2312" w:hAnsi="宋体" w:eastAsia="仿宋_GB2312"/>
          <w:b w:val="0"/>
          <w:bCs w:val="0"/>
          <w:color w:val="auto"/>
          <w:spacing w:val="-4"/>
          <w:sz w:val="28"/>
          <w:szCs w:val="28"/>
          <w:lang w:val="en-US" w:eastAsia="zh-CN"/>
        </w:rPr>
        <w:t>0</w:t>
      </w:r>
      <w:r>
        <w:rPr>
          <w:rStyle w:val="16"/>
          <w:rFonts w:hint="eastAsia" w:ascii="仿宋_GB2312" w:hAnsi="宋体" w:eastAsia="仿宋_GB2312"/>
          <w:b w:val="0"/>
          <w:bCs w:val="0"/>
          <w:color w:val="auto"/>
          <w:spacing w:val="-4"/>
          <w:sz w:val="28"/>
          <w:szCs w:val="28"/>
        </w:rPr>
        <w:t>%；其他）。</w:t>
      </w:r>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本年度流动资产</w:t>
      </w:r>
      <w:r>
        <w:rPr>
          <w:rStyle w:val="16"/>
          <w:rFonts w:hint="eastAsia" w:ascii="仿宋_GB2312" w:hAnsi="宋体" w:eastAsia="仿宋_GB2312"/>
          <w:b w:val="0"/>
          <w:bCs w:val="0"/>
          <w:color w:val="auto"/>
          <w:spacing w:val="-4"/>
          <w:sz w:val="28"/>
          <w:szCs w:val="28"/>
          <w:lang w:val="en-US" w:eastAsia="zh-CN"/>
        </w:rPr>
        <w:t>168.38</w:t>
      </w:r>
      <w:r>
        <w:rPr>
          <w:rStyle w:val="16"/>
          <w:rFonts w:hint="eastAsia" w:ascii="仿宋_GB2312" w:hAnsi="宋体" w:eastAsia="仿宋_GB2312"/>
          <w:b w:val="0"/>
          <w:bCs w:val="0"/>
          <w:color w:val="auto"/>
          <w:spacing w:val="-4"/>
          <w:sz w:val="28"/>
          <w:szCs w:val="28"/>
        </w:rPr>
        <w:t>万元，比上年增加</w:t>
      </w:r>
      <w:r>
        <w:rPr>
          <w:rStyle w:val="16"/>
          <w:rFonts w:hint="eastAsia" w:ascii="仿宋_GB2312" w:hAnsi="宋体" w:eastAsia="仿宋_GB2312"/>
          <w:b w:val="0"/>
          <w:bCs w:val="0"/>
          <w:color w:val="auto"/>
          <w:spacing w:val="-4"/>
          <w:sz w:val="28"/>
          <w:szCs w:val="28"/>
          <w:lang w:val="en-US" w:eastAsia="zh-CN"/>
        </w:rPr>
        <w:t>0</w:t>
      </w:r>
      <w:r>
        <w:rPr>
          <w:rStyle w:val="16"/>
          <w:rFonts w:hint="eastAsia" w:ascii="仿宋_GB2312" w:hAnsi="宋体" w:eastAsia="仿宋_GB2312"/>
          <w:b w:val="0"/>
          <w:bCs w:val="0"/>
          <w:color w:val="auto"/>
          <w:spacing w:val="-4"/>
          <w:sz w:val="28"/>
          <w:szCs w:val="28"/>
        </w:rPr>
        <w:t>万元，原因是：</w:t>
      </w:r>
      <w:r>
        <w:rPr>
          <w:rStyle w:val="16"/>
          <w:rFonts w:hint="eastAsia" w:ascii="仿宋_GB2312" w:hAnsi="宋体" w:eastAsia="仿宋_GB2312"/>
          <w:b w:val="0"/>
          <w:bCs w:val="0"/>
          <w:color w:val="auto"/>
          <w:spacing w:val="-4"/>
          <w:sz w:val="28"/>
          <w:szCs w:val="28"/>
          <w:lang w:val="en-US" w:eastAsia="zh-CN"/>
        </w:rPr>
        <w:t>无流动资产</w:t>
      </w:r>
      <w:r>
        <w:rPr>
          <w:rStyle w:val="16"/>
          <w:rFonts w:hint="eastAsia" w:ascii="仿宋_GB2312" w:hAnsi="宋体" w:eastAsia="仿宋_GB2312"/>
          <w:b w:val="0"/>
          <w:bCs w:val="0"/>
          <w:color w:val="auto"/>
          <w:spacing w:val="-4"/>
          <w:sz w:val="28"/>
          <w:szCs w:val="28"/>
        </w:rPr>
        <w:t>。</w:t>
      </w:r>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本年度固定资产</w:t>
      </w:r>
      <w:r>
        <w:rPr>
          <w:rStyle w:val="16"/>
          <w:rFonts w:hint="eastAsia" w:ascii="仿宋_GB2312" w:hAnsi="宋体" w:eastAsia="仿宋_GB2312"/>
          <w:b w:val="0"/>
          <w:bCs w:val="0"/>
          <w:color w:val="auto"/>
          <w:spacing w:val="-4"/>
          <w:sz w:val="28"/>
          <w:szCs w:val="28"/>
          <w:lang w:val="en-US" w:eastAsia="zh-CN"/>
        </w:rPr>
        <w:t>730.58</w:t>
      </w:r>
      <w:r>
        <w:rPr>
          <w:rStyle w:val="16"/>
          <w:rFonts w:hint="eastAsia" w:ascii="仿宋_GB2312" w:hAnsi="宋体" w:eastAsia="仿宋_GB2312"/>
          <w:b w:val="0"/>
          <w:bCs w:val="0"/>
          <w:color w:val="auto"/>
          <w:spacing w:val="-4"/>
          <w:sz w:val="28"/>
          <w:szCs w:val="28"/>
        </w:rPr>
        <w:t>万元，比上年增加</w:t>
      </w:r>
      <w:r>
        <w:rPr>
          <w:rStyle w:val="16"/>
          <w:rFonts w:hint="eastAsia" w:ascii="仿宋_GB2312" w:hAnsi="宋体" w:eastAsia="仿宋_GB2312"/>
          <w:b w:val="0"/>
          <w:bCs w:val="0"/>
          <w:color w:val="auto"/>
          <w:spacing w:val="-4"/>
          <w:sz w:val="28"/>
          <w:szCs w:val="28"/>
          <w:lang w:val="en-US" w:eastAsia="zh-CN"/>
        </w:rPr>
        <w:t>0</w:t>
      </w:r>
      <w:r>
        <w:rPr>
          <w:rStyle w:val="16"/>
          <w:rFonts w:hint="eastAsia" w:ascii="仿宋_GB2312" w:hAnsi="宋体" w:eastAsia="仿宋_GB2312"/>
          <w:b w:val="0"/>
          <w:bCs w:val="0"/>
          <w:color w:val="auto"/>
          <w:spacing w:val="-4"/>
          <w:sz w:val="28"/>
          <w:szCs w:val="28"/>
        </w:rPr>
        <w:t>万元，原因是：</w:t>
      </w:r>
      <w:r>
        <w:rPr>
          <w:rStyle w:val="16"/>
          <w:rFonts w:hint="eastAsia" w:ascii="仿宋_GB2312" w:hAnsi="宋体" w:eastAsia="仿宋_GB2312"/>
          <w:b w:val="0"/>
          <w:bCs w:val="0"/>
          <w:color w:val="auto"/>
          <w:spacing w:val="-4"/>
          <w:sz w:val="28"/>
          <w:szCs w:val="28"/>
          <w:lang w:val="en-US" w:eastAsia="zh-CN"/>
        </w:rPr>
        <w:t>无新增</w:t>
      </w:r>
      <w:r>
        <w:rPr>
          <w:rStyle w:val="16"/>
          <w:rFonts w:hint="eastAsia" w:ascii="仿宋_GB2312" w:hAnsi="宋体" w:eastAsia="仿宋_GB2312"/>
          <w:b w:val="0"/>
          <w:bCs w:val="0"/>
          <w:color w:val="auto"/>
          <w:spacing w:val="-4"/>
          <w:sz w:val="28"/>
          <w:szCs w:val="28"/>
        </w:rPr>
        <w:t>。</w:t>
      </w:r>
    </w:p>
    <w:p>
      <w:pPr>
        <w:snapToGrid w:val="0"/>
        <w:spacing w:line="360" w:lineRule="auto"/>
        <w:ind w:firstLine="544" w:firstLineChars="200"/>
        <w:rPr>
          <w:rStyle w:val="16"/>
          <w:rFonts w:ascii="宋体" w:hAnsi="宋体" w:eastAsia="宋体"/>
          <w:bCs w:val="0"/>
          <w:color w:val="auto"/>
          <w:spacing w:val="-4"/>
          <w:sz w:val="28"/>
          <w:szCs w:val="28"/>
        </w:rPr>
      </w:pPr>
      <w:r>
        <w:rPr>
          <w:rStyle w:val="16"/>
          <w:rFonts w:hint="eastAsia" w:ascii="仿宋_GB2312" w:hAnsi="宋体" w:eastAsia="仿宋_GB2312"/>
          <w:b w:val="0"/>
          <w:bCs w:val="0"/>
          <w:color w:val="auto"/>
          <w:spacing w:val="-4"/>
          <w:sz w:val="28"/>
          <w:szCs w:val="28"/>
        </w:rPr>
        <w:t>实际在用固定资产</w:t>
      </w:r>
      <w:r>
        <w:rPr>
          <w:rStyle w:val="16"/>
          <w:rFonts w:hint="eastAsia" w:ascii="仿宋_GB2312" w:hAnsi="宋体" w:eastAsia="仿宋_GB2312"/>
          <w:b w:val="0"/>
          <w:bCs w:val="0"/>
          <w:color w:val="auto"/>
          <w:spacing w:val="-4"/>
          <w:sz w:val="28"/>
          <w:szCs w:val="28"/>
          <w:lang w:val="en-US" w:eastAsia="zh-CN"/>
        </w:rPr>
        <w:t>730.58</w:t>
      </w:r>
      <w:r>
        <w:rPr>
          <w:rStyle w:val="16"/>
          <w:rFonts w:hint="eastAsia" w:ascii="仿宋_GB2312" w:hAnsi="宋体" w:eastAsia="仿宋_GB2312"/>
          <w:b w:val="0"/>
          <w:bCs w:val="0"/>
          <w:color w:val="auto"/>
          <w:spacing w:val="-4"/>
          <w:sz w:val="28"/>
          <w:szCs w:val="28"/>
        </w:rPr>
        <w:t>万元，固定资产利用率</w:t>
      </w:r>
      <w:r>
        <w:rPr>
          <w:rStyle w:val="16"/>
          <w:rFonts w:hint="eastAsia" w:ascii="仿宋_GB2312" w:hAnsi="宋体" w:eastAsia="仿宋_GB2312"/>
          <w:b w:val="0"/>
          <w:bCs w:val="0"/>
          <w:color w:val="auto"/>
          <w:spacing w:val="-4"/>
          <w:sz w:val="28"/>
          <w:szCs w:val="28"/>
          <w:lang w:val="en-US" w:eastAsia="zh-CN"/>
        </w:rPr>
        <w:t>100</w:t>
      </w:r>
      <w:r>
        <w:rPr>
          <w:rStyle w:val="16"/>
          <w:rFonts w:hint="eastAsia" w:ascii="仿宋_GB2312" w:hAnsi="宋体" w:eastAsia="仿宋_GB2312"/>
          <w:b w:val="0"/>
          <w:bCs w:val="0"/>
          <w:color w:val="auto"/>
          <w:spacing w:val="-4"/>
          <w:sz w:val="28"/>
          <w:szCs w:val="28"/>
        </w:rPr>
        <w:t>%。</w:t>
      </w:r>
    </w:p>
    <w:p>
      <w:pPr>
        <w:pStyle w:val="4"/>
        <w:spacing w:line="360" w:lineRule="auto"/>
        <w:rPr>
          <w:rStyle w:val="16"/>
          <w:rFonts w:ascii="仿宋" w:hAnsi="仿宋" w:eastAsia="仿宋"/>
          <w:b/>
          <w:bCs/>
          <w:color w:val="auto"/>
        </w:rPr>
      </w:pPr>
      <w:bookmarkStart w:id="26" w:name="_Toc70450312"/>
      <w:r>
        <w:rPr>
          <w:rStyle w:val="16"/>
          <w:rFonts w:hint="eastAsia" w:ascii="仿宋" w:hAnsi="仿宋" w:eastAsia="仿宋"/>
          <w:b/>
          <w:bCs/>
          <w:color w:val="auto"/>
        </w:rPr>
        <w:t>（二）资产管理情况</w:t>
      </w:r>
      <w:bookmarkEnd w:id="26"/>
    </w:p>
    <w:p>
      <w:pPr>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hint="eastAsia"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napToGrid w:val="0"/>
        <w:spacing w:line="360" w:lineRule="auto"/>
        <w:ind w:firstLine="544" w:firstLineChars="200"/>
        <w:rPr>
          <w:rStyle w:val="16"/>
          <w:rFonts w:ascii="仿宋_GB2312" w:hAnsi="宋体" w:eastAsia="仿宋_GB2312"/>
          <w:b w:val="0"/>
          <w:color w:val="auto"/>
          <w:spacing w:val="-4"/>
          <w:sz w:val="28"/>
          <w:szCs w:val="28"/>
        </w:rPr>
      </w:pPr>
    </w:p>
    <w:p>
      <w:pPr>
        <w:pStyle w:val="3"/>
        <w:spacing w:line="360" w:lineRule="auto"/>
        <w:rPr>
          <w:rFonts w:ascii="仿宋" w:hAnsi="仿宋" w:eastAsia="仿宋"/>
          <w:color w:val="auto"/>
          <w:sz w:val="36"/>
          <w:szCs w:val="36"/>
          <w:lang w:bidi="ar"/>
        </w:rPr>
      </w:pPr>
      <w:bookmarkStart w:id="27" w:name="_Toc70450313"/>
      <w:r>
        <w:rPr>
          <w:rFonts w:hint="eastAsia" w:ascii="仿宋" w:hAnsi="仿宋" w:eastAsia="仿宋"/>
          <w:color w:val="auto"/>
          <w:sz w:val="36"/>
          <w:szCs w:val="36"/>
          <w:lang w:bidi="ar"/>
        </w:rPr>
        <w:t>五、部门单位整体支出绩效情况</w:t>
      </w:r>
      <w:bookmarkEnd w:id="27"/>
    </w:p>
    <w:p>
      <w:pPr>
        <w:pStyle w:val="4"/>
        <w:spacing w:line="360" w:lineRule="auto"/>
        <w:ind w:firstLine="643" w:firstLineChars="200"/>
        <w:rPr>
          <w:rStyle w:val="16"/>
          <w:rFonts w:ascii="仿宋" w:hAnsi="仿宋" w:eastAsia="仿宋"/>
          <w:b/>
          <w:bCs/>
          <w:color w:val="auto"/>
        </w:rPr>
      </w:pPr>
      <w:bookmarkStart w:id="28" w:name="_Toc70450314"/>
      <w:r>
        <w:rPr>
          <w:rStyle w:val="16"/>
          <w:rFonts w:hint="eastAsia" w:ascii="仿宋" w:hAnsi="仿宋" w:eastAsia="仿宋"/>
          <w:b/>
          <w:bCs/>
          <w:color w:val="auto"/>
        </w:rPr>
        <w:t>（一）经济效益评价</w:t>
      </w:r>
      <w:bookmarkEnd w:id="28"/>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202</w:t>
      </w:r>
      <w:r>
        <w:rPr>
          <w:rStyle w:val="16"/>
          <w:rFonts w:hint="eastAsia" w:ascii="仿宋_GB2312" w:hAnsi="宋体" w:eastAsia="仿宋_GB2312"/>
          <w:b w:val="0"/>
          <w:bCs w:val="0"/>
          <w:color w:val="auto"/>
          <w:spacing w:val="-4"/>
          <w:sz w:val="28"/>
          <w:szCs w:val="28"/>
          <w:lang w:val="en-US" w:eastAsia="zh-CN"/>
        </w:rPr>
        <w:t>1</w:t>
      </w:r>
      <w:r>
        <w:rPr>
          <w:rStyle w:val="16"/>
          <w:rFonts w:hint="eastAsia" w:ascii="仿宋_GB2312" w:hAnsi="宋体" w:eastAsia="仿宋_GB2312"/>
          <w:b w:val="0"/>
          <w:bCs w:val="0"/>
          <w:color w:val="auto"/>
          <w:spacing w:val="-4"/>
          <w:sz w:val="28"/>
          <w:szCs w:val="28"/>
        </w:rPr>
        <w:t>年度我单位年初预算安排</w:t>
      </w:r>
      <w:r>
        <w:rPr>
          <w:rStyle w:val="16"/>
          <w:rFonts w:hint="eastAsia" w:ascii="仿宋_GB2312" w:hAnsi="宋体" w:eastAsia="仿宋_GB2312"/>
          <w:b w:val="0"/>
          <w:bCs w:val="0"/>
          <w:color w:val="auto"/>
          <w:spacing w:val="-4"/>
          <w:sz w:val="28"/>
          <w:szCs w:val="28"/>
          <w:lang w:val="en-US" w:eastAsia="zh-CN"/>
        </w:rPr>
        <w:t>282.48</w:t>
      </w:r>
      <w:r>
        <w:rPr>
          <w:rStyle w:val="16"/>
          <w:rFonts w:hint="eastAsia" w:ascii="仿宋_GB2312" w:hAnsi="宋体" w:eastAsia="仿宋_GB2312"/>
          <w:b w:val="0"/>
          <w:bCs w:val="0"/>
          <w:color w:val="auto"/>
          <w:spacing w:val="-4"/>
          <w:sz w:val="28"/>
          <w:szCs w:val="28"/>
        </w:rPr>
        <w:t>万元，年中调整</w:t>
      </w:r>
      <w:r>
        <w:rPr>
          <w:rStyle w:val="16"/>
          <w:rFonts w:hint="eastAsia" w:ascii="仿宋_GB2312" w:hAnsi="宋体" w:eastAsia="仿宋_GB2312"/>
          <w:b w:val="0"/>
          <w:bCs w:val="0"/>
          <w:color w:val="auto"/>
          <w:spacing w:val="-4"/>
          <w:sz w:val="28"/>
          <w:szCs w:val="28"/>
          <w:lang w:val="en-US" w:eastAsia="zh-CN"/>
        </w:rPr>
        <w:t>225.22</w:t>
      </w:r>
      <w:r>
        <w:rPr>
          <w:rStyle w:val="16"/>
          <w:rFonts w:hint="eastAsia" w:ascii="仿宋_GB2312" w:hAnsi="宋体" w:eastAsia="仿宋_GB2312"/>
          <w:b w:val="0"/>
          <w:bCs w:val="0"/>
          <w:color w:val="auto"/>
          <w:spacing w:val="-4"/>
          <w:sz w:val="28"/>
          <w:szCs w:val="28"/>
        </w:rPr>
        <w:t>万元，截止12月底支出</w:t>
      </w:r>
      <w:r>
        <w:rPr>
          <w:rStyle w:val="16"/>
          <w:rFonts w:hint="eastAsia" w:ascii="仿宋_GB2312" w:hAnsi="宋体" w:eastAsia="仿宋_GB2312"/>
          <w:b w:val="0"/>
          <w:bCs w:val="0"/>
          <w:color w:val="auto"/>
          <w:spacing w:val="-4"/>
          <w:sz w:val="28"/>
          <w:szCs w:val="28"/>
          <w:lang w:val="en-US" w:eastAsia="zh-CN"/>
        </w:rPr>
        <w:t>507.70</w:t>
      </w:r>
      <w:r>
        <w:rPr>
          <w:rStyle w:val="16"/>
          <w:rFonts w:hint="eastAsia" w:ascii="仿宋_GB2312" w:hAnsi="宋体" w:eastAsia="仿宋_GB2312"/>
          <w:b w:val="0"/>
          <w:bCs w:val="0"/>
          <w:color w:val="auto"/>
          <w:spacing w:val="-4"/>
          <w:sz w:val="28"/>
          <w:szCs w:val="28"/>
        </w:rPr>
        <w:t>万元，执行率</w:t>
      </w:r>
      <w:r>
        <w:rPr>
          <w:rStyle w:val="16"/>
          <w:rFonts w:hint="eastAsia" w:ascii="仿宋_GB2312" w:hAnsi="宋体" w:eastAsia="仿宋_GB2312"/>
          <w:b w:val="0"/>
          <w:bCs w:val="0"/>
          <w:color w:val="auto"/>
          <w:spacing w:val="-4"/>
          <w:sz w:val="28"/>
          <w:szCs w:val="28"/>
          <w:lang w:val="en-US" w:eastAsia="zh-CN"/>
        </w:rPr>
        <w:t>100</w:t>
      </w:r>
      <w:r>
        <w:rPr>
          <w:rStyle w:val="16"/>
          <w:rFonts w:hint="eastAsia" w:ascii="仿宋_GB2312" w:hAnsi="宋体" w:eastAsia="仿宋_GB2312"/>
          <w:b w:val="0"/>
          <w:bCs w:val="0"/>
          <w:color w:val="auto"/>
          <w:spacing w:val="-4"/>
          <w:sz w:val="28"/>
          <w:szCs w:val="28"/>
        </w:rPr>
        <w:t>%。</w:t>
      </w:r>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ascii="仿宋_GB2312" w:hAnsi="宋体" w:eastAsia="仿宋_GB2312"/>
          <w:b w:val="0"/>
          <w:bCs w:val="0"/>
          <w:color w:val="auto"/>
          <w:spacing w:val="-4"/>
          <w:sz w:val="28"/>
          <w:szCs w:val="28"/>
        </w:rPr>
        <w:t>1</w:t>
      </w:r>
      <w:r>
        <w:rPr>
          <w:rStyle w:val="16"/>
          <w:rFonts w:hint="eastAsia" w:ascii="仿宋_GB2312" w:hAnsi="宋体" w:eastAsia="仿宋_GB2312"/>
          <w:b w:val="0"/>
          <w:bCs w:val="0"/>
          <w:color w:val="auto"/>
          <w:spacing w:val="-4"/>
          <w:sz w:val="28"/>
          <w:szCs w:val="28"/>
        </w:rPr>
        <w:t>、预算资金执行过程中均按照年初预算分配情况均做到专款专用，未出现资金侵、挪占情况。</w:t>
      </w:r>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ascii="仿宋_GB2312" w:hAnsi="宋体" w:eastAsia="仿宋_GB2312"/>
          <w:b w:val="0"/>
          <w:bCs w:val="0"/>
          <w:color w:val="auto"/>
          <w:spacing w:val="-4"/>
          <w:sz w:val="28"/>
          <w:szCs w:val="28"/>
        </w:rPr>
        <w:t>2</w:t>
      </w:r>
      <w:r>
        <w:rPr>
          <w:rStyle w:val="16"/>
          <w:rFonts w:hint="eastAsia" w:ascii="仿宋_GB2312" w:hAnsi="宋体" w:eastAsia="仿宋_GB2312"/>
          <w:b w:val="0"/>
          <w:bCs w:val="0"/>
          <w:color w:val="auto"/>
          <w:spacing w:val="-4"/>
          <w:sz w:val="28"/>
          <w:szCs w:val="28"/>
        </w:rPr>
        <w:t>、全年按照部门预算进行成本控制，全部控制在厉行节约指标数内。其他支出按财政部门下达的计划实施，全年没有项目超支。</w:t>
      </w:r>
    </w:p>
    <w:p>
      <w:pPr>
        <w:pStyle w:val="4"/>
        <w:spacing w:line="360" w:lineRule="auto"/>
        <w:ind w:firstLine="643" w:firstLineChars="200"/>
        <w:rPr>
          <w:rStyle w:val="16"/>
          <w:rFonts w:ascii="仿宋" w:hAnsi="仿宋" w:eastAsia="仿宋"/>
          <w:b/>
          <w:bCs/>
          <w:color w:val="auto"/>
        </w:rPr>
      </w:pPr>
      <w:bookmarkStart w:id="29" w:name="_Toc70450315"/>
      <w:r>
        <w:rPr>
          <w:rStyle w:val="16"/>
          <w:rFonts w:hint="eastAsia" w:ascii="仿宋" w:hAnsi="仿宋" w:eastAsia="仿宋"/>
          <w:b/>
          <w:bCs/>
          <w:color w:val="auto"/>
        </w:rPr>
        <w:t>（二）效率性评价</w:t>
      </w:r>
      <w:bookmarkEnd w:id="29"/>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202</w:t>
      </w:r>
      <w:r>
        <w:rPr>
          <w:rStyle w:val="16"/>
          <w:rFonts w:hint="eastAsia" w:ascii="仿宋_GB2312" w:hAnsi="宋体" w:eastAsia="仿宋_GB2312"/>
          <w:b w:val="0"/>
          <w:bCs w:val="0"/>
          <w:color w:val="auto"/>
          <w:spacing w:val="-4"/>
          <w:sz w:val="28"/>
          <w:szCs w:val="28"/>
          <w:lang w:val="en-US" w:eastAsia="zh-CN"/>
        </w:rPr>
        <w:t>1</w:t>
      </w:r>
      <w:r>
        <w:rPr>
          <w:rStyle w:val="16"/>
          <w:rFonts w:hint="eastAsia" w:ascii="仿宋_GB2312" w:hAnsi="宋体" w:eastAsia="仿宋_GB2312"/>
          <w:b w:val="0"/>
          <w:bCs w:val="0"/>
          <w:color w:val="auto"/>
          <w:spacing w:val="-4"/>
          <w:sz w:val="28"/>
          <w:szCs w:val="28"/>
        </w:rPr>
        <w:t>年，在</w:t>
      </w:r>
      <w:r>
        <w:rPr>
          <w:rStyle w:val="16"/>
          <w:rFonts w:hint="eastAsia" w:ascii="仿宋_GB2312" w:hAnsi="宋体" w:eastAsia="仿宋_GB2312"/>
          <w:b w:val="0"/>
          <w:bCs w:val="0"/>
          <w:color w:val="auto"/>
          <w:spacing w:val="-4"/>
          <w:sz w:val="28"/>
          <w:szCs w:val="28"/>
          <w:lang w:val="en-US" w:eastAsia="zh-CN"/>
        </w:rPr>
        <w:t>县财政</w:t>
      </w:r>
      <w:r>
        <w:rPr>
          <w:rStyle w:val="16"/>
          <w:rFonts w:hint="eastAsia" w:ascii="仿宋_GB2312" w:hAnsi="宋体" w:eastAsia="仿宋_GB2312"/>
          <w:b w:val="0"/>
          <w:bCs w:val="0"/>
          <w:color w:val="auto"/>
          <w:spacing w:val="-4"/>
          <w:sz w:val="28"/>
          <w:szCs w:val="28"/>
        </w:rPr>
        <w:t>的大力支持和</w:t>
      </w:r>
      <w:r>
        <w:rPr>
          <w:rStyle w:val="16"/>
          <w:rFonts w:hint="eastAsia" w:ascii="仿宋_GB2312" w:hAnsi="宋体" w:eastAsia="仿宋_GB2312"/>
          <w:b w:val="0"/>
          <w:bCs w:val="0"/>
          <w:color w:val="auto"/>
          <w:spacing w:val="-4"/>
          <w:sz w:val="28"/>
          <w:szCs w:val="28"/>
          <w:lang w:val="en-US" w:eastAsia="zh-CN"/>
        </w:rPr>
        <w:t>单位领导</w:t>
      </w:r>
      <w:r>
        <w:rPr>
          <w:rStyle w:val="16"/>
          <w:rFonts w:hint="eastAsia" w:ascii="仿宋_GB2312" w:hAnsi="宋体" w:eastAsia="仿宋_GB2312"/>
          <w:b w:val="0"/>
          <w:bCs w:val="0"/>
          <w:color w:val="auto"/>
          <w:spacing w:val="-4"/>
          <w:sz w:val="28"/>
          <w:szCs w:val="28"/>
        </w:rPr>
        <w:t>的正确领导下，我</w:t>
      </w:r>
      <w:r>
        <w:rPr>
          <w:rStyle w:val="16"/>
          <w:rFonts w:hint="eastAsia" w:ascii="仿宋_GB2312" w:hAnsi="楷体" w:eastAsia="仿宋_GB2312"/>
          <w:b w:val="0"/>
          <w:color w:val="auto"/>
          <w:spacing w:val="-4"/>
          <w:sz w:val="28"/>
          <w:szCs w:val="28"/>
        </w:rPr>
        <w:t>单位</w:t>
      </w:r>
      <w:r>
        <w:rPr>
          <w:rStyle w:val="16"/>
          <w:rFonts w:hint="eastAsia" w:ascii="仿宋_GB2312" w:hAnsi="宋体" w:eastAsia="仿宋_GB2312"/>
          <w:b w:val="0"/>
          <w:bCs w:val="0"/>
          <w:color w:val="auto"/>
          <w:spacing w:val="-4"/>
          <w:sz w:val="28"/>
          <w:szCs w:val="28"/>
        </w:rPr>
        <w:t>迎难而上、务实重干，积极推动各项</w:t>
      </w:r>
      <w:r>
        <w:rPr>
          <w:rStyle w:val="16"/>
          <w:rFonts w:hint="eastAsia" w:ascii="仿宋_GB2312" w:hAnsi="宋体" w:eastAsia="仿宋_GB2312"/>
          <w:b w:val="0"/>
          <w:bCs w:val="0"/>
          <w:color w:val="auto"/>
          <w:spacing w:val="-4"/>
          <w:sz w:val="28"/>
          <w:szCs w:val="28"/>
          <w:lang w:val="en-US" w:eastAsia="zh-CN"/>
        </w:rPr>
        <w:t>医疗卫生</w:t>
      </w:r>
      <w:r>
        <w:rPr>
          <w:rStyle w:val="16"/>
          <w:rFonts w:hint="eastAsia" w:ascii="仿宋_GB2312" w:hAnsi="宋体" w:eastAsia="仿宋_GB2312"/>
          <w:b w:val="0"/>
          <w:bCs w:val="0"/>
          <w:color w:val="auto"/>
          <w:spacing w:val="-4"/>
          <w:sz w:val="28"/>
          <w:szCs w:val="28"/>
        </w:rPr>
        <w:t>工作取得了新的进展，为促进经济持续健康发展与社会和谐稳定提供了有力的</w:t>
      </w:r>
      <w:r>
        <w:rPr>
          <w:rStyle w:val="16"/>
          <w:rFonts w:hint="eastAsia" w:ascii="仿宋_GB2312" w:hAnsi="宋体" w:eastAsia="仿宋_GB2312"/>
          <w:b w:val="0"/>
          <w:bCs w:val="0"/>
          <w:color w:val="auto"/>
          <w:spacing w:val="-4"/>
          <w:sz w:val="28"/>
          <w:szCs w:val="28"/>
          <w:lang w:val="en-US" w:eastAsia="zh-CN"/>
        </w:rPr>
        <w:t>财政</w:t>
      </w:r>
      <w:r>
        <w:rPr>
          <w:rStyle w:val="16"/>
          <w:rFonts w:hint="eastAsia" w:ascii="仿宋_GB2312" w:hAnsi="宋体" w:eastAsia="仿宋_GB2312"/>
          <w:b w:val="0"/>
          <w:bCs w:val="0"/>
          <w:color w:val="auto"/>
          <w:spacing w:val="-4"/>
          <w:sz w:val="28"/>
          <w:szCs w:val="28"/>
        </w:rPr>
        <w:t>支撑和</w:t>
      </w:r>
      <w:r>
        <w:rPr>
          <w:rStyle w:val="16"/>
          <w:rFonts w:hint="eastAsia" w:ascii="仿宋_GB2312" w:hAnsi="宋体" w:eastAsia="仿宋_GB2312"/>
          <w:b w:val="0"/>
          <w:bCs w:val="0"/>
          <w:color w:val="auto"/>
          <w:spacing w:val="-4"/>
          <w:sz w:val="28"/>
          <w:szCs w:val="28"/>
          <w:lang w:val="en-US" w:eastAsia="zh-CN"/>
        </w:rPr>
        <w:t>医疗</w:t>
      </w:r>
      <w:r>
        <w:rPr>
          <w:rStyle w:val="16"/>
          <w:rFonts w:hint="eastAsia" w:ascii="仿宋_GB2312" w:hAnsi="宋体" w:eastAsia="仿宋_GB2312"/>
          <w:b w:val="0"/>
          <w:bCs w:val="0"/>
          <w:color w:val="auto"/>
          <w:spacing w:val="-4"/>
          <w:sz w:val="28"/>
          <w:szCs w:val="28"/>
        </w:rPr>
        <w:t>保障。</w:t>
      </w:r>
    </w:p>
    <w:p>
      <w:pPr>
        <w:spacing w:line="360" w:lineRule="auto"/>
        <w:ind w:firstLine="544" w:firstLineChars="200"/>
        <w:rPr>
          <w:rStyle w:val="16"/>
          <w:rFonts w:hint="eastAsia" w:ascii="仿宋_GB2312" w:hAnsi="宋体" w:eastAsia="仿宋_GB2312" w:cs="Times New Roman"/>
          <w:b w:val="0"/>
          <w:bCs w:val="0"/>
          <w:color w:val="auto"/>
          <w:spacing w:val="-4"/>
          <w:sz w:val="28"/>
          <w:szCs w:val="28"/>
        </w:rPr>
      </w:pPr>
      <w:r>
        <w:rPr>
          <w:rStyle w:val="16"/>
          <w:rFonts w:hint="eastAsia" w:ascii="仿宋_GB2312" w:hAnsi="宋体" w:eastAsia="仿宋_GB2312" w:cs="Times New Roman"/>
          <w:b w:val="0"/>
          <w:bCs w:val="0"/>
          <w:color w:val="auto"/>
          <w:spacing w:val="-4"/>
          <w:sz w:val="28"/>
          <w:szCs w:val="28"/>
        </w:rPr>
        <w:t>1、圆满完成</w:t>
      </w:r>
    </w:p>
    <w:p>
      <w:pPr>
        <w:spacing w:line="360" w:lineRule="auto"/>
        <w:ind w:firstLine="544" w:firstLineChars="200"/>
        <w:rPr>
          <w:rStyle w:val="16"/>
          <w:rFonts w:hint="eastAsia" w:ascii="仿宋_GB2312" w:hAnsi="宋体" w:eastAsia="仿宋_GB2312" w:cs="Times New Roman"/>
          <w:b w:val="0"/>
          <w:bCs w:val="0"/>
          <w:color w:val="auto"/>
          <w:spacing w:val="-4"/>
          <w:sz w:val="28"/>
          <w:szCs w:val="28"/>
        </w:rPr>
      </w:pPr>
      <w:r>
        <w:rPr>
          <w:rStyle w:val="16"/>
          <w:rFonts w:hint="eastAsia" w:ascii="仿宋_GB2312" w:hAnsi="宋体" w:eastAsia="仿宋_GB2312" w:cs="Times New Roman"/>
          <w:b w:val="0"/>
          <w:bCs w:val="0"/>
          <w:color w:val="auto"/>
          <w:spacing w:val="-4"/>
          <w:sz w:val="28"/>
          <w:szCs w:val="28"/>
        </w:rPr>
        <w:t>基本公共卫生服务工作，完成上级下达的工作指标；</w:t>
      </w:r>
    </w:p>
    <w:p>
      <w:pPr>
        <w:spacing w:line="360" w:lineRule="auto"/>
        <w:ind w:firstLine="544" w:firstLineChars="200"/>
        <w:rPr>
          <w:rStyle w:val="16"/>
          <w:rFonts w:hint="eastAsia" w:ascii="仿宋_GB2312" w:hAnsi="宋体" w:eastAsia="仿宋_GB2312" w:cs="Times New Roman"/>
          <w:b w:val="0"/>
          <w:bCs w:val="0"/>
          <w:color w:val="auto"/>
          <w:spacing w:val="-4"/>
          <w:sz w:val="28"/>
          <w:szCs w:val="28"/>
        </w:rPr>
      </w:pPr>
      <w:r>
        <w:rPr>
          <w:rStyle w:val="16"/>
          <w:rFonts w:hint="eastAsia" w:ascii="仿宋_GB2312" w:hAnsi="宋体" w:eastAsia="仿宋_GB2312" w:cs="Times New Roman"/>
          <w:b w:val="0"/>
          <w:bCs w:val="0"/>
          <w:color w:val="auto"/>
          <w:spacing w:val="-4"/>
          <w:sz w:val="28"/>
          <w:szCs w:val="28"/>
        </w:rPr>
        <w:t>预防接种中心的设置建设和运行管理，为，及时发现、报告并协助处理疑似预防接种异常反应、做好各类疫苗出入库管理工作。</w:t>
      </w:r>
    </w:p>
    <w:p>
      <w:pPr>
        <w:spacing w:line="360" w:lineRule="auto"/>
        <w:ind w:firstLine="544" w:firstLineChars="200"/>
        <w:rPr>
          <w:rStyle w:val="16"/>
          <w:rFonts w:hint="eastAsia" w:ascii="仿宋_GB2312" w:hAnsi="宋体" w:eastAsia="仿宋_GB2312" w:cs="Times New Roman"/>
          <w:b w:val="0"/>
          <w:bCs w:val="0"/>
          <w:color w:val="auto"/>
          <w:spacing w:val="-4"/>
          <w:sz w:val="28"/>
          <w:szCs w:val="28"/>
          <w:lang w:eastAsia="zh-CN"/>
        </w:rPr>
      </w:pPr>
      <w:r>
        <w:rPr>
          <w:rStyle w:val="16"/>
          <w:rFonts w:hint="eastAsia" w:ascii="仿宋_GB2312" w:hAnsi="宋体" w:eastAsia="仿宋_GB2312" w:cs="Times New Roman"/>
          <w:b w:val="0"/>
          <w:bCs w:val="0"/>
          <w:color w:val="auto"/>
          <w:spacing w:val="-4"/>
          <w:sz w:val="28"/>
          <w:szCs w:val="28"/>
        </w:rPr>
        <w:t>2、适龄儿童提供免费的国家免疫规划疫苗接种服务任务提前完成</w:t>
      </w:r>
      <w:r>
        <w:rPr>
          <w:rStyle w:val="16"/>
          <w:rFonts w:hint="eastAsia" w:ascii="仿宋_GB2312" w:hAnsi="宋体" w:eastAsia="仿宋_GB2312" w:cs="Times New Roman"/>
          <w:b w:val="0"/>
          <w:bCs w:val="0"/>
          <w:color w:val="auto"/>
          <w:spacing w:val="-4"/>
          <w:sz w:val="28"/>
          <w:szCs w:val="28"/>
          <w:lang w:eastAsia="zh-CN"/>
        </w:rPr>
        <w:t>。</w:t>
      </w:r>
    </w:p>
    <w:p>
      <w:pPr>
        <w:spacing w:line="360" w:lineRule="auto"/>
        <w:ind w:firstLine="544" w:firstLineChars="200"/>
        <w:rPr>
          <w:rStyle w:val="16"/>
          <w:rFonts w:hint="eastAsia" w:ascii="仿宋_GB2312" w:hAnsi="宋体" w:eastAsia="仿宋_GB2312" w:cs="Times New Roman"/>
          <w:b w:val="0"/>
          <w:bCs w:val="0"/>
          <w:color w:val="auto"/>
          <w:spacing w:val="-4"/>
          <w:sz w:val="28"/>
          <w:szCs w:val="28"/>
          <w:lang w:val="en-US" w:eastAsia="zh-CN"/>
        </w:rPr>
      </w:pPr>
      <w:r>
        <w:rPr>
          <w:rStyle w:val="16"/>
          <w:rFonts w:hint="eastAsia" w:ascii="仿宋_GB2312" w:hAnsi="宋体" w:eastAsia="仿宋_GB2312" w:cs="Times New Roman"/>
          <w:b w:val="0"/>
          <w:bCs w:val="0"/>
          <w:color w:val="auto"/>
          <w:spacing w:val="-4"/>
          <w:sz w:val="28"/>
          <w:szCs w:val="28"/>
          <w:lang w:val="en-US" w:eastAsia="zh-CN"/>
        </w:rPr>
        <w:t>3、为了人民群众的健康，开展医疗与预防保健服务常见病、多 发病的治疗。协助开展突发公共卫生事件应急调查和处置工作， 承担区域内公共卫生相关信息的收集和报告成效显著</w:t>
      </w:r>
    </w:p>
    <w:p>
      <w:pPr>
        <w:spacing w:line="360" w:lineRule="auto"/>
        <w:ind w:firstLine="544" w:firstLineChars="200"/>
        <w:rPr>
          <w:rStyle w:val="16"/>
          <w:rFonts w:hint="eastAsia" w:ascii="仿宋_GB2312" w:hAnsi="宋体" w:eastAsia="仿宋_GB2312" w:cs="Times New Roman"/>
          <w:b w:val="0"/>
          <w:bCs w:val="0"/>
          <w:color w:val="auto"/>
          <w:spacing w:val="-4"/>
          <w:sz w:val="28"/>
          <w:szCs w:val="28"/>
          <w:lang w:eastAsia="zh-CN"/>
        </w:rPr>
      </w:pPr>
      <w:r>
        <w:rPr>
          <w:rStyle w:val="16"/>
          <w:rFonts w:hint="eastAsia" w:ascii="仿宋_GB2312" w:hAnsi="宋体" w:eastAsia="仿宋_GB2312" w:cs="Times New Roman"/>
          <w:b w:val="0"/>
          <w:bCs w:val="0"/>
          <w:color w:val="auto"/>
          <w:spacing w:val="-4"/>
          <w:sz w:val="28"/>
          <w:szCs w:val="28"/>
          <w:lang w:val="en-US" w:eastAsia="zh-CN"/>
        </w:rPr>
        <w:t>4、</w:t>
      </w:r>
      <w:r>
        <w:rPr>
          <w:rStyle w:val="16"/>
          <w:rFonts w:hint="eastAsia" w:ascii="仿宋_GB2312" w:hAnsi="宋体" w:eastAsia="仿宋_GB2312" w:cs="Times New Roman"/>
          <w:b w:val="0"/>
          <w:bCs w:val="0"/>
          <w:color w:val="auto"/>
          <w:spacing w:val="-4"/>
          <w:sz w:val="28"/>
          <w:szCs w:val="28"/>
        </w:rPr>
        <w:t>加大医疗便民惠民措施的推广力度，改进服务模式，优化服务流程，方便群众就医。进一步规范门诊、病房的管理，使群众真正得到实惠</w:t>
      </w:r>
      <w:r>
        <w:rPr>
          <w:rStyle w:val="16"/>
          <w:rFonts w:hint="eastAsia" w:ascii="仿宋_GB2312" w:hAnsi="宋体" w:eastAsia="仿宋_GB2312" w:cs="Times New Roman"/>
          <w:b w:val="0"/>
          <w:bCs w:val="0"/>
          <w:color w:val="auto"/>
          <w:spacing w:val="-4"/>
          <w:sz w:val="28"/>
          <w:szCs w:val="28"/>
          <w:lang w:eastAsia="zh-CN"/>
        </w:rPr>
        <w:t>，</w:t>
      </w:r>
      <w:r>
        <w:rPr>
          <w:rStyle w:val="16"/>
          <w:rFonts w:hint="eastAsia" w:ascii="仿宋_GB2312" w:hAnsi="宋体" w:eastAsia="仿宋_GB2312" w:cs="Times New Roman"/>
          <w:b w:val="0"/>
          <w:bCs w:val="0"/>
          <w:color w:val="auto"/>
          <w:spacing w:val="-4"/>
          <w:sz w:val="28"/>
          <w:szCs w:val="28"/>
        </w:rPr>
        <w:t>群众满意度高</w:t>
      </w:r>
      <w:r>
        <w:rPr>
          <w:rStyle w:val="16"/>
          <w:rFonts w:hint="eastAsia" w:ascii="仿宋_GB2312" w:hAnsi="宋体" w:eastAsia="仿宋_GB2312" w:cs="Times New Roman"/>
          <w:b w:val="0"/>
          <w:bCs w:val="0"/>
          <w:color w:val="auto"/>
          <w:spacing w:val="-4"/>
          <w:sz w:val="28"/>
          <w:szCs w:val="28"/>
          <w:lang w:eastAsia="zh-CN"/>
        </w:rPr>
        <w:t>。</w:t>
      </w:r>
    </w:p>
    <w:p>
      <w:pPr>
        <w:pStyle w:val="4"/>
        <w:spacing w:line="360" w:lineRule="auto"/>
        <w:ind w:firstLine="643" w:firstLineChars="200"/>
        <w:rPr>
          <w:rStyle w:val="16"/>
          <w:rFonts w:ascii="仿宋" w:hAnsi="仿宋" w:eastAsia="仿宋"/>
          <w:b/>
          <w:bCs/>
          <w:color w:val="auto"/>
        </w:rPr>
      </w:pPr>
      <w:bookmarkStart w:id="30" w:name="_Toc70450316"/>
      <w:r>
        <w:rPr>
          <w:rStyle w:val="16"/>
          <w:rFonts w:hint="eastAsia" w:ascii="仿宋" w:hAnsi="仿宋" w:eastAsia="仿宋"/>
          <w:b/>
          <w:bCs/>
          <w:color w:val="auto"/>
        </w:rPr>
        <w:t>（三）有效性评价</w:t>
      </w:r>
      <w:bookmarkEnd w:id="30"/>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202</w:t>
      </w:r>
      <w:r>
        <w:rPr>
          <w:rStyle w:val="16"/>
          <w:rFonts w:hint="eastAsia" w:ascii="仿宋_GB2312" w:hAnsi="宋体" w:eastAsia="仿宋_GB2312"/>
          <w:b w:val="0"/>
          <w:bCs w:val="0"/>
          <w:color w:val="auto"/>
          <w:spacing w:val="-4"/>
          <w:sz w:val="28"/>
          <w:szCs w:val="28"/>
          <w:lang w:val="en-US" w:eastAsia="zh-CN"/>
        </w:rPr>
        <w:t>1</w:t>
      </w:r>
      <w:r>
        <w:rPr>
          <w:rStyle w:val="16"/>
          <w:rFonts w:hint="eastAsia" w:ascii="仿宋_GB2312" w:hAnsi="宋体" w:eastAsia="仿宋_GB2312"/>
          <w:b w:val="0"/>
          <w:bCs w:val="0"/>
          <w:color w:val="auto"/>
          <w:spacing w:val="-4"/>
          <w:sz w:val="28"/>
          <w:szCs w:val="28"/>
        </w:rPr>
        <w:t>年部门支出的有效性主要体现在我单位各项工作成效上，一是</w:t>
      </w:r>
      <w:r>
        <w:rPr>
          <w:rStyle w:val="16"/>
          <w:rFonts w:hint="eastAsia" w:ascii="仿宋_GB2312" w:hAnsi="宋体" w:eastAsia="仿宋_GB2312"/>
          <w:b w:val="0"/>
          <w:bCs w:val="0"/>
          <w:color w:val="auto"/>
          <w:spacing w:val="-4"/>
          <w:sz w:val="28"/>
          <w:szCs w:val="28"/>
          <w:lang w:val="en-US" w:eastAsia="zh-CN"/>
        </w:rPr>
        <w:t>基本公共卫生、全民体检工资</w:t>
      </w:r>
      <w:r>
        <w:rPr>
          <w:rStyle w:val="16"/>
          <w:rFonts w:hint="eastAsia" w:ascii="仿宋_GB2312" w:hAnsi="宋体" w:eastAsia="仿宋_GB2312"/>
          <w:b w:val="0"/>
          <w:bCs w:val="0"/>
          <w:color w:val="auto"/>
          <w:spacing w:val="-4"/>
          <w:sz w:val="28"/>
          <w:szCs w:val="28"/>
        </w:rPr>
        <w:t>进一步夯实，二是</w:t>
      </w:r>
      <w:r>
        <w:rPr>
          <w:rStyle w:val="16"/>
          <w:rFonts w:hint="eastAsia" w:ascii="仿宋_GB2312" w:hAnsi="宋体" w:eastAsia="仿宋_GB2312"/>
          <w:b w:val="0"/>
          <w:bCs w:val="0"/>
          <w:color w:val="auto"/>
          <w:spacing w:val="-4"/>
          <w:sz w:val="28"/>
          <w:szCs w:val="28"/>
          <w:lang w:val="en-US" w:eastAsia="zh-CN"/>
        </w:rPr>
        <w:t>医疗卫生</w:t>
      </w:r>
      <w:r>
        <w:rPr>
          <w:rStyle w:val="16"/>
          <w:rFonts w:hint="eastAsia" w:ascii="仿宋_GB2312" w:hAnsi="宋体" w:eastAsia="仿宋_GB2312"/>
          <w:b w:val="0"/>
          <w:bCs w:val="0"/>
          <w:color w:val="auto"/>
          <w:spacing w:val="-4"/>
          <w:sz w:val="28"/>
          <w:szCs w:val="28"/>
        </w:rPr>
        <w:t>能力进一步提升，三是合理处置医疗废物垃圾进一步改善，四是 提高全系统日常工作效率和质量进一步提高，五是</w:t>
      </w:r>
      <w:r>
        <w:rPr>
          <w:rStyle w:val="16"/>
          <w:rFonts w:hint="eastAsia" w:ascii="仿宋_GB2312" w:hAnsi="宋体" w:eastAsia="仿宋_GB2312"/>
          <w:b w:val="0"/>
          <w:bCs w:val="0"/>
          <w:color w:val="auto"/>
          <w:spacing w:val="-4"/>
          <w:sz w:val="28"/>
          <w:szCs w:val="28"/>
          <w:lang w:val="en-US" w:eastAsia="zh-CN"/>
        </w:rPr>
        <w:t>全系统医疗工资</w:t>
      </w:r>
      <w:r>
        <w:rPr>
          <w:rStyle w:val="16"/>
          <w:rFonts w:hint="eastAsia" w:ascii="仿宋_GB2312" w:hAnsi="宋体" w:eastAsia="仿宋_GB2312"/>
          <w:b w:val="0"/>
          <w:bCs w:val="0"/>
          <w:color w:val="auto"/>
          <w:spacing w:val="-4"/>
          <w:sz w:val="28"/>
          <w:szCs w:val="28"/>
        </w:rPr>
        <w:t>进一步推进，七是</w:t>
      </w:r>
      <w:r>
        <w:rPr>
          <w:rStyle w:val="16"/>
          <w:rFonts w:hint="eastAsia" w:ascii="仿宋_GB2312" w:hAnsi="宋体" w:eastAsia="仿宋_GB2312"/>
          <w:b w:val="0"/>
          <w:bCs w:val="0"/>
          <w:color w:val="auto"/>
          <w:spacing w:val="-4"/>
          <w:sz w:val="28"/>
          <w:szCs w:val="28"/>
          <w:lang w:val="en-US" w:eastAsia="zh-CN"/>
        </w:rPr>
        <w:t>医疗服务</w:t>
      </w:r>
      <w:r>
        <w:rPr>
          <w:rStyle w:val="16"/>
          <w:rFonts w:hint="eastAsia" w:ascii="仿宋_GB2312" w:hAnsi="宋体" w:eastAsia="仿宋_GB2312"/>
          <w:b w:val="0"/>
          <w:bCs w:val="0"/>
          <w:color w:val="auto"/>
          <w:spacing w:val="-4"/>
          <w:sz w:val="28"/>
          <w:szCs w:val="28"/>
        </w:rPr>
        <w:t>水平进一步增强，详细情况如下：</w:t>
      </w:r>
    </w:p>
    <w:p>
      <w:pPr>
        <w:snapToGrid w:val="0"/>
        <w:spacing w:line="360" w:lineRule="auto"/>
        <w:ind w:firstLine="544" w:firstLineChars="200"/>
        <w:rPr>
          <w:rStyle w:val="16"/>
          <w:rFonts w:ascii="仿宋_GB2312" w:eastAsia="仿宋_GB2312" w:hAnsiTheme="minorEastAsia"/>
          <w:b w:val="0"/>
          <w:color w:val="auto"/>
          <w:spacing w:val="-4"/>
          <w:sz w:val="28"/>
          <w:szCs w:val="28"/>
        </w:rPr>
      </w:pPr>
      <w:r>
        <w:rPr>
          <w:rStyle w:val="16"/>
          <w:rFonts w:hint="eastAsia" w:ascii="仿宋_GB2312" w:eastAsia="仿宋_GB2312" w:hAnsiTheme="minorEastAsia"/>
          <w:b w:val="0"/>
          <w:color w:val="auto"/>
          <w:spacing w:val="-4"/>
          <w:sz w:val="28"/>
          <w:szCs w:val="28"/>
          <w:lang w:val="en-US" w:eastAsia="zh-CN"/>
        </w:rPr>
        <w:t>特克斯县齐勒乌泽克镇</w:t>
      </w:r>
      <w:r>
        <w:rPr>
          <w:rStyle w:val="16"/>
          <w:rFonts w:hint="eastAsia" w:ascii="仿宋_GB2312" w:eastAsia="仿宋_GB2312" w:hAnsiTheme="minorEastAsia"/>
          <w:b w:val="0"/>
          <w:color w:val="auto"/>
          <w:spacing w:val="-4"/>
          <w:sz w:val="28"/>
          <w:szCs w:val="28"/>
        </w:rPr>
        <w:t>单位整体绩效目标共设置一级指标</w:t>
      </w:r>
      <w:r>
        <w:rPr>
          <w:rStyle w:val="16"/>
          <w:rFonts w:hint="eastAsia" w:ascii="仿宋_GB2312" w:eastAsia="仿宋_GB2312" w:hAnsiTheme="minorEastAsia"/>
          <w:b w:val="0"/>
          <w:color w:val="auto"/>
          <w:spacing w:val="-4"/>
          <w:sz w:val="28"/>
          <w:szCs w:val="28"/>
          <w:lang w:val="en-US" w:eastAsia="zh-CN"/>
        </w:rPr>
        <w:t>3</w:t>
      </w:r>
      <w:r>
        <w:rPr>
          <w:rStyle w:val="16"/>
          <w:rFonts w:hint="eastAsia" w:ascii="仿宋_GB2312" w:eastAsia="仿宋_GB2312" w:hAnsiTheme="minorEastAsia"/>
          <w:b w:val="0"/>
          <w:color w:val="auto"/>
          <w:spacing w:val="-4"/>
          <w:sz w:val="28"/>
          <w:szCs w:val="28"/>
        </w:rPr>
        <w:t>个，二级指标</w:t>
      </w:r>
      <w:r>
        <w:rPr>
          <w:rStyle w:val="16"/>
          <w:rFonts w:hint="eastAsia" w:ascii="仿宋_GB2312" w:eastAsia="仿宋_GB2312" w:hAnsiTheme="minorEastAsia"/>
          <w:b w:val="0"/>
          <w:color w:val="auto"/>
          <w:spacing w:val="-4"/>
          <w:sz w:val="28"/>
          <w:szCs w:val="28"/>
          <w:lang w:val="en-US" w:eastAsia="zh-CN"/>
        </w:rPr>
        <w:t>8</w:t>
      </w:r>
      <w:r>
        <w:rPr>
          <w:rStyle w:val="16"/>
          <w:rFonts w:hint="eastAsia" w:ascii="仿宋_GB2312" w:eastAsia="仿宋_GB2312" w:hAnsiTheme="minorEastAsia"/>
          <w:b w:val="0"/>
          <w:color w:val="auto"/>
          <w:spacing w:val="-4"/>
          <w:sz w:val="28"/>
          <w:szCs w:val="28"/>
        </w:rPr>
        <w:t xml:space="preserve">个，三级指标 </w:t>
      </w:r>
      <w:r>
        <w:rPr>
          <w:rStyle w:val="16"/>
          <w:rFonts w:hint="eastAsia" w:ascii="仿宋_GB2312" w:eastAsia="仿宋_GB2312" w:hAnsiTheme="minorEastAsia"/>
          <w:b w:val="0"/>
          <w:color w:val="auto"/>
          <w:spacing w:val="-4"/>
          <w:sz w:val="28"/>
          <w:szCs w:val="28"/>
          <w:lang w:val="en-US" w:eastAsia="zh-CN"/>
        </w:rPr>
        <w:t>12</w:t>
      </w:r>
      <w:r>
        <w:rPr>
          <w:rStyle w:val="16"/>
          <w:rFonts w:hint="eastAsia" w:ascii="仿宋_GB2312" w:eastAsia="仿宋_GB2312" w:hAnsiTheme="minorEastAsia"/>
          <w:b w:val="0"/>
          <w:color w:val="auto"/>
          <w:spacing w:val="-4"/>
          <w:sz w:val="28"/>
          <w:szCs w:val="28"/>
        </w:rPr>
        <w:t>个，详细说明如下</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ascii="仿宋_GB2312" w:hAnsi="宋体" w:eastAsia="仿宋_GB2312"/>
          <w:b w:val="0"/>
          <w:color w:val="auto"/>
          <w:spacing w:val="-4"/>
          <w:sz w:val="28"/>
          <w:szCs w:val="28"/>
        </w:rPr>
        <w:t>1</w:t>
      </w:r>
      <w:r>
        <w:rPr>
          <w:rStyle w:val="16"/>
          <w:rFonts w:hint="eastAsia" w:ascii="仿宋_GB2312" w:hAnsi="宋体" w:eastAsia="仿宋_GB2312"/>
          <w:b w:val="0"/>
          <w:color w:val="auto"/>
          <w:spacing w:val="-4"/>
          <w:sz w:val="28"/>
          <w:szCs w:val="28"/>
        </w:rPr>
        <w:t>、数量指标：</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指标1：</w:t>
      </w:r>
      <w:r>
        <w:rPr>
          <w:rStyle w:val="16"/>
          <w:rFonts w:hint="eastAsia" w:ascii="仿宋_GB2312" w:hAnsi="宋体" w:eastAsia="仿宋_GB2312"/>
          <w:b w:val="0"/>
          <w:color w:val="auto"/>
          <w:spacing w:val="-4"/>
          <w:sz w:val="28"/>
          <w:szCs w:val="28"/>
          <w:lang w:val="en-US" w:eastAsia="zh-CN"/>
        </w:rPr>
        <w:t>特克斯县</w:t>
      </w:r>
      <w:r>
        <w:rPr>
          <w:rStyle w:val="16"/>
          <w:rFonts w:hint="eastAsia" w:ascii="仿宋_GB2312" w:hAnsi="宋体" w:eastAsia="仿宋_GB2312"/>
          <w:b w:val="0"/>
          <w:color w:val="auto"/>
          <w:spacing w:val="-4"/>
          <w:sz w:val="28"/>
          <w:szCs w:val="28"/>
        </w:rPr>
        <w:t>齐勒乌泽克镇卫生院保障在职人数 ，指标值：</w:t>
      </w:r>
      <w:r>
        <w:rPr>
          <w:rStyle w:val="16"/>
          <w:rFonts w:hint="eastAsia" w:ascii="仿宋_GB2312" w:hAnsi="宋体" w:eastAsia="仿宋_GB2312"/>
          <w:b w:val="0"/>
          <w:color w:val="auto"/>
          <w:spacing w:val="-4"/>
          <w:sz w:val="28"/>
          <w:szCs w:val="28"/>
          <w:lang w:val="en-US" w:eastAsia="zh-CN"/>
        </w:rPr>
        <w:t>=</w:t>
      </w:r>
      <w:r>
        <w:rPr>
          <w:rStyle w:val="16"/>
          <w:rFonts w:hint="eastAsia" w:ascii="仿宋_GB2312" w:hAnsi="宋体" w:eastAsia="仿宋_GB2312"/>
          <w:b w:val="0"/>
          <w:color w:val="auto"/>
          <w:spacing w:val="-4"/>
          <w:sz w:val="28"/>
          <w:szCs w:val="28"/>
        </w:rPr>
        <w:t>27人 ，实际完成值：27人 ，指标完成率</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指标</w:t>
      </w:r>
      <w:r>
        <w:rPr>
          <w:rStyle w:val="16"/>
          <w:rFonts w:ascii="仿宋_GB2312" w:hAnsi="宋体" w:eastAsia="仿宋_GB2312"/>
          <w:b w:val="0"/>
          <w:color w:val="auto"/>
          <w:spacing w:val="-4"/>
          <w:sz w:val="28"/>
          <w:szCs w:val="28"/>
        </w:rPr>
        <w:t>2</w:t>
      </w:r>
      <w:r>
        <w:rPr>
          <w:rStyle w:val="16"/>
          <w:rFonts w:hint="eastAsia" w:ascii="仿宋_GB2312" w:hAnsi="宋体" w:eastAsia="仿宋_GB2312"/>
          <w:b w:val="0"/>
          <w:color w:val="auto"/>
          <w:spacing w:val="-4"/>
          <w:sz w:val="28"/>
          <w:szCs w:val="28"/>
        </w:rPr>
        <w:t>：</w:t>
      </w:r>
      <w:r>
        <w:rPr>
          <w:rStyle w:val="16"/>
          <w:rFonts w:hint="eastAsia" w:ascii="仿宋_GB2312" w:hAnsi="宋体" w:eastAsia="仿宋_GB2312"/>
          <w:b w:val="0"/>
          <w:color w:val="auto"/>
          <w:spacing w:val="-4"/>
          <w:sz w:val="28"/>
          <w:szCs w:val="28"/>
          <w:lang w:val="en-US" w:eastAsia="zh-CN"/>
        </w:rPr>
        <w:t>特克斯县</w:t>
      </w:r>
      <w:r>
        <w:rPr>
          <w:rStyle w:val="16"/>
          <w:rFonts w:hint="eastAsia" w:ascii="仿宋_GB2312" w:hAnsi="宋体" w:eastAsia="仿宋_GB2312"/>
          <w:b w:val="0"/>
          <w:color w:val="auto"/>
          <w:spacing w:val="-4"/>
          <w:sz w:val="28"/>
          <w:szCs w:val="28"/>
        </w:rPr>
        <w:t>齐勒乌泽克镇卫生院退休人数 ，指标值：</w:t>
      </w:r>
      <w:r>
        <w:rPr>
          <w:rStyle w:val="16"/>
          <w:rFonts w:hint="eastAsia" w:ascii="仿宋_GB2312" w:hAnsi="宋体" w:eastAsia="仿宋_GB2312"/>
          <w:b w:val="0"/>
          <w:color w:val="auto"/>
          <w:spacing w:val="-4"/>
          <w:sz w:val="28"/>
          <w:szCs w:val="28"/>
          <w:lang w:val="en-US" w:eastAsia="zh-CN"/>
        </w:rPr>
        <w:t>=</w:t>
      </w:r>
      <w:r>
        <w:rPr>
          <w:rStyle w:val="16"/>
          <w:rFonts w:hint="eastAsia" w:ascii="仿宋_GB2312" w:hAnsi="宋体" w:eastAsia="仿宋_GB2312"/>
          <w:b w:val="0"/>
          <w:color w:val="auto"/>
          <w:spacing w:val="-4"/>
          <w:sz w:val="28"/>
          <w:szCs w:val="28"/>
        </w:rPr>
        <w:t>7人，实际完成值：7人，指标完成率</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ascii="仿宋_GB2312" w:hAnsi="宋体" w:eastAsia="仿宋_GB2312"/>
          <w:b w:val="0"/>
          <w:color w:val="auto"/>
          <w:spacing w:val="-4"/>
          <w:sz w:val="28"/>
          <w:szCs w:val="28"/>
        </w:rPr>
        <w:t>2</w:t>
      </w:r>
      <w:r>
        <w:rPr>
          <w:rStyle w:val="16"/>
          <w:rFonts w:hint="eastAsia" w:ascii="仿宋_GB2312" w:hAnsi="宋体" w:eastAsia="仿宋_GB2312"/>
          <w:b w:val="0"/>
          <w:color w:val="auto"/>
          <w:spacing w:val="-4"/>
          <w:sz w:val="28"/>
          <w:szCs w:val="28"/>
        </w:rPr>
        <w:t>、质量指标：</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指标1：全系统人员工资及社保正常发放率，指标值：</w:t>
      </w:r>
      <w:r>
        <w:rPr>
          <w:rStyle w:val="16"/>
          <w:rFonts w:hint="eastAsia" w:ascii="仿宋_GB2312" w:hAnsi="宋体" w:eastAsia="仿宋_GB2312"/>
          <w:b w:val="0"/>
          <w:color w:val="auto"/>
          <w:spacing w:val="-4"/>
          <w:sz w:val="28"/>
          <w:szCs w:val="28"/>
          <w:lang w:val="en-US" w:eastAsia="zh-CN"/>
        </w:rPr>
        <w:t>=</w:t>
      </w:r>
      <w:r>
        <w:rPr>
          <w:rStyle w:val="16"/>
          <w:rFonts w:hint="eastAsia" w:ascii="仿宋_GB2312" w:hAnsi="宋体" w:eastAsia="仿宋_GB2312"/>
          <w:b w:val="0"/>
          <w:color w:val="auto"/>
          <w:spacing w:val="-4"/>
          <w:sz w:val="28"/>
          <w:szCs w:val="28"/>
        </w:rPr>
        <w:t>90%，实际完成值：90%，指标完成率</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指标</w:t>
      </w:r>
      <w:r>
        <w:rPr>
          <w:rStyle w:val="16"/>
          <w:rFonts w:ascii="仿宋_GB2312" w:hAnsi="宋体" w:eastAsia="仿宋_GB2312"/>
          <w:b w:val="0"/>
          <w:color w:val="auto"/>
          <w:spacing w:val="-4"/>
          <w:sz w:val="28"/>
          <w:szCs w:val="28"/>
        </w:rPr>
        <w:t>2</w:t>
      </w:r>
      <w:r>
        <w:rPr>
          <w:rStyle w:val="16"/>
          <w:rFonts w:hint="eastAsia" w:ascii="仿宋_GB2312" w:hAnsi="宋体" w:eastAsia="仿宋_GB2312"/>
          <w:b w:val="0"/>
          <w:color w:val="auto"/>
          <w:spacing w:val="-4"/>
          <w:sz w:val="28"/>
          <w:szCs w:val="28"/>
        </w:rPr>
        <w:t>：慰问退休干部覆盖率，指标值</w:t>
      </w:r>
      <w:r>
        <w:rPr>
          <w:rStyle w:val="16"/>
          <w:rFonts w:hint="eastAsia" w:ascii="仿宋_GB2312" w:hAnsi="宋体" w:eastAsia="仿宋_GB2312"/>
          <w:b w:val="0"/>
          <w:color w:val="auto"/>
          <w:spacing w:val="-4"/>
          <w:sz w:val="28"/>
          <w:szCs w:val="28"/>
          <w:lang w:val="en-US" w:eastAsia="zh-CN"/>
        </w:rPr>
        <w:t>=</w:t>
      </w:r>
      <w:r>
        <w:rPr>
          <w:rStyle w:val="16"/>
          <w:rFonts w:hint="eastAsia" w:ascii="仿宋_GB2312" w:hAnsi="宋体" w:eastAsia="仿宋_GB2312"/>
          <w:b w:val="0"/>
          <w:color w:val="auto"/>
          <w:spacing w:val="-4"/>
          <w:sz w:val="28"/>
          <w:szCs w:val="28"/>
        </w:rPr>
        <w:t>：100%，实际完成值：100%，指标完成率</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ascii="仿宋_GB2312" w:hAnsi="宋体" w:eastAsia="仿宋_GB2312"/>
          <w:b w:val="0"/>
          <w:color w:val="auto"/>
          <w:spacing w:val="-4"/>
          <w:sz w:val="28"/>
          <w:szCs w:val="28"/>
        </w:rPr>
        <w:t>3</w:t>
      </w:r>
      <w:r>
        <w:rPr>
          <w:rStyle w:val="16"/>
          <w:rFonts w:hint="eastAsia" w:ascii="仿宋_GB2312" w:hAnsi="宋体" w:eastAsia="仿宋_GB2312"/>
          <w:b w:val="0"/>
          <w:color w:val="auto"/>
          <w:spacing w:val="-4"/>
          <w:sz w:val="28"/>
          <w:szCs w:val="28"/>
        </w:rPr>
        <w:t>、时效指标：</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指标1：工资及补助发放及时性，指标值：</w:t>
      </w:r>
      <w:r>
        <w:rPr>
          <w:rStyle w:val="16"/>
          <w:rFonts w:hint="eastAsia" w:ascii="仿宋_GB2312" w:hAnsi="宋体" w:eastAsia="仿宋_GB2312"/>
          <w:b w:val="0"/>
          <w:color w:val="auto"/>
          <w:spacing w:val="-4"/>
          <w:sz w:val="28"/>
          <w:szCs w:val="28"/>
          <w:lang w:val="en-US" w:eastAsia="zh-CN"/>
        </w:rPr>
        <w:t>=</w:t>
      </w:r>
      <w:r>
        <w:rPr>
          <w:rStyle w:val="16"/>
          <w:rFonts w:hint="eastAsia" w:ascii="仿宋_GB2312" w:hAnsi="宋体" w:eastAsia="仿宋_GB2312"/>
          <w:b w:val="0"/>
          <w:color w:val="auto"/>
          <w:spacing w:val="-4"/>
          <w:sz w:val="28"/>
          <w:szCs w:val="28"/>
        </w:rPr>
        <w:t>100%，实际完成值：100%，指标完成率</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ascii="仿宋_GB2312" w:hAnsi="宋体" w:eastAsia="仿宋_GB2312"/>
          <w:b w:val="0"/>
          <w:color w:val="auto"/>
          <w:spacing w:val="-4"/>
          <w:sz w:val="28"/>
          <w:szCs w:val="28"/>
        </w:rPr>
        <w:t>4</w:t>
      </w:r>
      <w:r>
        <w:rPr>
          <w:rStyle w:val="16"/>
          <w:rFonts w:hint="eastAsia" w:ascii="仿宋_GB2312" w:hAnsi="宋体" w:eastAsia="仿宋_GB2312"/>
          <w:b w:val="0"/>
          <w:color w:val="auto"/>
          <w:spacing w:val="-4"/>
          <w:sz w:val="28"/>
          <w:szCs w:val="28"/>
        </w:rPr>
        <w:t>、成本指标：</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指标1：人均工资福利支出，指标值：</w:t>
      </w:r>
      <w:r>
        <w:rPr>
          <w:rStyle w:val="16"/>
          <w:rFonts w:hint="eastAsia" w:ascii="仿宋_GB2312" w:hAnsi="宋体" w:eastAsia="仿宋_GB2312"/>
          <w:b w:val="0"/>
          <w:color w:val="auto"/>
          <w:spacing w:val="-4"/>
          <w:sz w:val="28"/>
          <w:szCs w:val="28"/>
          <w:lang w:val="en-US" w:eastAsia="zh-CN"/>
        </w:rPr>
        <w:t>=</w:t>
      </w:r>
      <w:r>
        <w:rPr>
          <w:rStyle w:val="16"/>
          <w:rFonts w:hint="eastAsia" w:ascii="仿宋_GB2312" w:hAnsi="宋体" w:eastAsia="仿宋_GB2312"/>
          <w:b w:val="0"/>
          <w:color w:val="auto"/>
          <w:spacing w:val="-4"/>
          <w:sz w:val="28"/>
          <w:szCs w:val="28"/>
        </w:rPr>
        <w:t>10.41万元/人 ，实际完成值：10.41万元/人，指标完成率</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指标</w:t>
      </w:r>
      <w:r>
        <w:rPr>
          <w:rStyle w:val="16"/>
          <w:rFonts w:ascii="仿宋_GB2312" w:hAnsi="宋体" w:eastAsia="仿宋_GB2312"/>
          <w:b w:val="0"/>
          <w:color w:val="auto"/>
          <w:spacing w:val="-4"/>
          <w:sz w:val="28"/>
          <w:szCs w:val="28"/>
        </w:rPr>
        <w:t>2</w:t>
      </w:r>
      <w:r>
        <w:rPr>
          <w:rStyle w:val="16"/>
          <w:rFonts w:hint="eastAsia" w:ascii="仿宋_GB2312" w:hAnsi="宋体" w:eastAsia="仿宋_GB2312"/>
          <w:b w:val="0"/>
          <w:color w:val="auto"/>
          <w:spacing w:val="-4"/>
          <w:sz w:val="28"/>
          <w:szCs w:val="28"/>
        </w:rPr>
        <w:t>：退休人员人均福利支出  ，指标值：</w:t>
      </w:r>
      <w:r>
        <w:rPr>
          <w:rStyle w:val="16"/>
          <w:rFonts w:hint="eastAsia" w:ascii="仿宋_GB2312" w:hAnsi="宋体" w:eastAsia="仿宋_GB2312"/>
          <w:b w:val="0"/>
          <w:color w:val="auto"/>
          <w:spacing w:val="-4"/>
          <w:sz w:val="28"/>
          <w:szCs w:val="28"/>
          <w:lang w:val="en-US" w:eastAsia="zh-CN"/>
        </w:rPr>
        <w:t>=</w:t>
      </w:r>
      <w:r>
        <w:rPr>
          <w:rStyle w:val="16"/>
          <w:rFonts w:hint="eastAsia" w:ascii="仿宋_GB2312" w:hAnsi="宋体" w:eastAsia="仿宋_GB2312"/>
          <w:b w:val="0"/>
          <w:color w:val="auto"/>
          <w:spacing w:val="-4"/>
          <w:sz w:val="28"/>
          <w:szCs w:val="28"/>
        </w:rPr>
        <w:t>0.19万元/人，实际完成值：0.19万元/人，指标完成率</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lang w:val="en-US" w:eastAsia="zh-CN"/>
        </w:rPr>
        <w:t>5</w:t>
      </w:r>
      <w:r>
        <w:rPr>
          <w:rStyle w:val="16"/>
          <w:rFonts w:hint="eastAsia" w:ascii="仿宋_GB2312" w:hAnsi="宋体" w:eastAsia="仿宋_GB2312"/>
          <w:b w:val="0"/>
          <w:color w:val="auto"/>
          <w:spacing w:val="-4"/>
          <w:sz w:val="28"/>
          <w:szCs w:val="28"/>
        </w:rPr>
        <w:t>、社会效益指标：</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指标1： 提高全系统日常工作效率和质量 ，指标值：有效提高 ，实际完成值：有效提高 ，指标完成率</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lang w:val="en-US" w:eastAsia="zh-CN"/>
        </w:rPr>
        <w:t>6</w:t>
      </w:r>
      <w:r>
        <w:rPr>
          <w:rStyle w:val="16"/>
          <w:rFonts w:hint="eastAsia" w:ascii="仿宋_GB2312" w:hAnsi="宋体" w:eastAsia="仿宋_GB2312"/>
          <w:b w:val="0"/>
          <w:color w:val="auto"/>
          <w:spacing w:val="-4"/>
          <w:sz w:val="28"/>
          <w:szCs w:val="28"/>
        </w:rPr>
        <w:t>、生态效益指标：</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指标1：合理处置医疗废物垃圾，指标值：处置合理，实际完成值：处置合理 ，指标完成率</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lang w:val="en-US" w:eastAsia="zh-CN"/>
        </w:rPr>
        <w:t>7</w:t>
      </w:r>
      <w:r>
        <w:rPr>
          <w:rStyle w:val="16"/>
          <w:rFonts w:hint="eastAsia" w:ascii="仿宋_GB2312" w:hAnsi="宋体" w:eastAsia="仿宋_GB2312"/>
          <w:b w:val="0"/>
          <w:color w:val="auto"/>
          <w:spacing w:val="-4"/>
          <w:sz w:val="28"/>
          <w:szCs w:val="28"/>
        </w:rPr>
        <w:t>、可持续影响指标：</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指标1：居民健康水平提高，指标值：有效提高，实际完成值：有效提高，指标完成率</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lang w:val="en-US" w:eastAsia="zh-CN"/>
        </w:rPr>
        <w:t>8</w:t>
      </w:r>
      <w:r>
        <w:rPr>
          <w:rStyle w:val="16"/>
          <w:rFonts w:hint="eastAsia" w:ascii="仿宋_GB2312" w:hAnsi="宋体" w:eastAsia="仿宋_GB2312"/>
          <w:b w:val="0"/>
          <w:color w:val="auto"/>
          <w:spacing w:val="-4"/>
          <w:sz w:val="28"/>
          <w:szCs w:val="28"/>
        </w:rPr>
        <w:t>、满意度指标：</w:t>
      </w:r>
    </w:p>
    <w:p>
      <w:pPr>
        <w:snapToGrid w:val="0"/>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指标1：患者满意度，指标值：</w:t>
      </w:r>
      <w:r>
        <w:rPr>
          <w:rStyle w:val="16"/>
          <w:rFonts w:hint="eastAsia" w:ascii="仿宋_GB2312" w:hAnsi="宋体" w:eastAsia="仿宋_GB2312"/>
          <w:b w:val="0"/>
          <w:color w:val="auto"/>
          <w:spacing w:val="-4"/>
          <w:sz w:val="28"/>
          <w:szCs w:val="28"/>
          <w:lang w:val="en-US" w:eastAsia="zh-CN"/>
        </w:rPr>
        <w:t>≥</w:t>
      </w:r>
      <w:r>
        <w:rPr>
          <w:rStyle w:val="16"/>
          <w:rFonts w:hint="eastAsia" w:ascii="仿宋_GB2312" w:hAnsi="宋体" w:eastAsia="仿宋_GB2312"/>
          <w:b w:val="0"/>
          <w:color w:val="auto"/>
          <w:spacing w:val="-4"/>
          <w:sz w:val="28"/>
          <w:szCs w:val="28"/>
        </w:rPr>
        <w:t>90%，实际完成值：90%，指标完成率</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w:t>
      </w:r>
    </w:p>
    <w:p>
      <w:pPr>
        <w:snapToGrid w:val="0"/>
        <w:spacing w:line="360" w:lineRule="auto"/>
        <w:ind w:firstLine="544" w:firstLineChars="200"/>
        <w:rPr>
          <w:rStyle w:val="16"/>
          <w:rFonts w:hint="eastAsia" w:ascii="仿宋_GB2312" w:hAnsi="宋体" w:eastAsia="仿宋_GB2312"/>
          <w:b w:val="0"/>
          <w:color w:val="auto"/>
          <w:spacing w:val="-4"/>
          <w:sz w:val="28"/>
          <w:szCs w:val="28"/>
          <w:lang w:eastAsia="zh-CN"/>
        </w:rPr>
      </w:pPr>
      <w:r>
        <w:rPr>
          <w:rStyle w:val="16"/>
          <w:rFonts w:hint="eastAsia" w:ascii="仿宋_GB2312" w:hAnsi="宋体" w:eastAsia="仿宋_GB2312"/>
          <w:b w:val="0"/>
          <w:color w:val="auto"/>
          <w:spacing w:val="-4"/>
          <w:sz w:val="28"/>
          <w:szCs w:val="28"/>
        </w:rPr>
        <w:t>指标</w:t>
      </w:r>
      <w:r>
        <w:rPr>
          <w:rStyle w:val="16"/>
          <w:rFonts w:ascii="仿宋_GB2312" w:hAnsi="宋体" w:eastAsia="仿宋_GB2312"/>
          <w:b w:val="0"/>
          <w:color w:val="auto"/>
          <w:spacing w:val="-4"/>
          <w:sz w:val="28"/>
          <w:szCs w:val="28"/>
        </w:rPr>
        <w:t>2</w:t>
      </w:r>
      <w:r>
        <w:rPr>
          <w:rStyle w:val="16"/>
          <w:rFonts w:hint="eastAsia" w:ascii="仿宋_GB2312" w:hAnsi="宋体" w:eastAsia="仿宋_GB2312"/>
          <w:b w:val="0"/>
          <w:color w:val="auto"/>
          <w:spacing w:val="-4"/>
          <w:sz w:val="28"/>
          <w:szCs w:val="28"/>
        </w:rPr>
        <w:t>：干部职工满意度，指标值：</w:t>
      </w:r>
      <w:r>
        <w:rPr>
          <w:rStyle w:val="16"/>
          <w:rFonts w:hint="eastAsia" w:ascii="仿宋_GB2312" w:hAnsi="宋体" w:eastAsia="仿宋_GB2312"/>
          <w:b w:val="0"/>
          <w:color w:val="auto"/>
          <w:spacing w:val="-4"/>
          <w:sz w:val="28"/>
          <w:szCs w:val="28"/>
          <w:lang w:val="en-US" w:eastAsia="zh-CN"/>
        </w:rPr>
        <w:t>=</w:t>
      </w:r>
      <w:r>
        <w:rPr>
          <w:rStyle w:val="16"/>
          <w:rFonts w:hint="eastAsia" w:ascii="仿宋_GB2312" w:hAnsi="宋体" w:eastAsia="仿宋_GB2312"/>
          <w:b w:val="0"/>
          <w:color w:val="auto"/>
          <w:spacing w:val="-4"/>
          <w:sz w:val="28"/>
          <w:szCs w:val="28"/>
        </w:rPr>
        <w:t>100%，实际完成值：</w:t>
      </w:r>
      <w:r>
        <w:rPr>
          <w:rStyle w:val="16"/>
          <w:rFonts w:hint="eastAsia" w:ascii="仿宋_GB2312" w:hAnsi="宋体" w:eastAsia="仿宋_GB2312"/>
          <w:b w:val="0"/>
          <w:color w:val="auto"/>
          <w:spacing w:val="-4"/>
          <w:sz w:val="28"/>
          <w:szCs w:val="28"/>
          <w:lang w:val="en-US" w:eastAsia="zh-CN"/>
        </w:rPr>
        <w:t>1</w:t>
      </w:r>
      <w:r>
        <w:rPr>
          <w:rStyle w:val="16"/>
          <w:rFonts w:hint="eastAsia" w:ascii="仿宋_GB2312" w:hAnsi="宋体" w:eastAsia="仿宋_GB2312"/>
          <w:b w:val="0"/>
          <w:color w:val="auto"/>
          <w:spacing w:val="-4"/>
          <w:sz w:val="28"/>
          <w:szCs w:val="28"/>
        </w:rPr>
        <w:t>00%，指标完成率</w:t>
      </w:r>
      <w:r>
        <w:rPr>
          <w:rStyle w:val="16"/>
          <w:rFonts w:hint="eastAsia" w:ascii="仿宋_GB2312" w:hAnsi="宋体" w:eastAsia="仿宋_GB2312"/>
          <w:b w:val="0"/>
          <w:color w:val="auto"/>
          <w:spacing w:val="-4"/>
          <w:sz w:val="28"/>
          <w:szCs w:val="28"/>
          <w:lang w:val="en-US" w:eastAsia="zh-CN"/>
        </w:rPr>
        <w:t>100</w:t>
      </w:r>
      <w:r>
        <w:rPr>
          <w:rStyle w:val="16"/>
          <w:rFonts w:hint="eastAsia" w:ascii="仿宋_GB2312" w:hAnsi="宋体" w:eastAsia="仿宋_GB2312"/>
          <w:b w:val="0"/>
          <w:color w:val="auto"/>
          <w:spacing w:val="-4"/>
          <w:sz w:val="28"/>
          <w:szCs w:val="28"/>
        </w:rPr>
        <w:t>%</w:t>
      </w:r>
      <w:r>
        <w:rPr>
          <w:rStyle w:val="16"/>
          <w:rFonts w:hint="eastAsia" w:ascii="仿宋_GB2312" w:hAnsi="宋体" w:eastAsia="仿宋_GB2312"/>
          <w:b w:val="0"/>
          <w:color w:val="auto"/>
          <w:spacing w:val="-4"/>
          <w:sz w:val="28"/>
          <w:szCs w:val="28"/>
          <w:lang w:eastAsia="zh-CN"/>
        </w:rPr>
        <w:t>。</w:t>
      </w:r>
    </w:p>
    <w:p>
      <w:pPr>
        <w:spacing w:line="360" w:lineRule="auto"/>
        <w:ind w:firstLine="544" w:firstLineChars="200"/>
        <w:rPr>
          <w:rStyle w:val="16"/>
          <w:rFonts w:ascii="仿宋_GB2312" w:hAnsi="宋体" w:eastAsia="仿宋_GB2312"/>
          <w:b w:val="0"/>
          <w:bCs w:val="0"/>
          <w:color w:val="auto"/>
          <w:spacing w:val="-4"/>
          <w:sz w:val="28"/>
          <w:szCs w:val="28"/>
        </w:rPr>
      </w:pPr>
    </w:p>
    <w:p>
      <w:pPr>
        <w:pStyle w:val="3"/>
        <w:spacing w:line="360" w:lineRule="auto"/>
        <w:rPr>
          <w:rFonts w:ascii="仿宋" w:hAnsi="仿宋" w:eastAsia="仿宋"/>
          <w:color w:val="auto"/>
          <w:sz w:val="36"/>
          <w:szCs w:val="36"/>
          <w:lang w:bidi="ar"/>
        </w:rPr>
      </w:pPr>
      <w:bookmarkStart w:id="31" w:name="_Toc70450317"/>
      <w:r>
        <w:rPr>
          <w:rFonts w:hint="eastAsia" w:ascii="仿宋" w:hAnsi="仿宋" w:eastAsia="仿宋"/>
          <w:color w:val="auto"/>
          <w:sz w:val="36"/>
          <w:szCs w:val="36"/>
          <w:lang w:bidi="ar"/>
        </w:rPr>
        <w:t>六、存在的主要问题</w:t>
      </w:r>
      <w:bookmarkEnd w:id="31"/>
    </w:p>
    <w:p>
      <w:pPr>
        <w:pStyle w:val="12"/>
        <w:widowControl/>
        <w:spacing w:before="40" w:beforeAutospacing="0" w:after="0" w:afterAutospacing="0" w:line="520" w:lineRule="atLeast"/>
        <w:ind w:firstLine="640"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(一)预算执行存在偏差</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pStyle w:val="29"/>
        <w:numPr>
          <w:ilvl w:val="0"/>
          <w:numId w:val="2"/>
        </w:numPr>
        <w:spacing w:line="560" w:lineRule="exact"/>
        <w:ind w:firstLine="530" w:firstLineChars="195"/>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项目细化管理工作不足。我单位无项目安排</w:t>
      </w:r>
    </w:p>
    <w:p>
      <w:pPr>
        <w:pStyle w:val="29"/>
        <w:spacing w:line="560" w:lineRule="exact"/>
        <w:ind w:firstLine="544" w:firstLineChars="200"/>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三）预算绩效管理水平仍有欠缺。在2021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pStyle w:val="12"/>
        <w:widowControl/>
        <w:spacing w:before="40" w:beforeAutospacing="0" w:after="0" w:afterAutospacing="0" w:line="520" w:lineRule="atLeast"/>
        <w:ind w:firstLine="272" w:firstLineChars="100"/>
        <w:jc w:val="both"/>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（四）固定资产管理水平有待提高</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固定资产台账未及时与账面资产金额对账且末与实物进行清点及及时清理处置报废资产导致资产台账与账面资产金额存在差异,固定资产管理继续加强中。</w:t>
      </w:r>
    </w:p>
    <w:p>
      <w:pPr>
        <w:spacing w:line="360" w:lineRule="auto"/>
        <w:rPr>
          <w:color w:val="auto"/>
          <w:lang w:bidi="ar"/>
        </w:rPr>
      </w:pPr>
    </w:p>
    <w:p>
      <w:pPr>
        <w:pStyle w:val="3"/>
        <w:spacing w:line="360" w:lineRule="auto"/>
        <w:rPr>
          <w:rFonts w:ascii="仿宋" w:hAnsi="仿宋" w:eastAsia="仿宋"/>
          <w:color w:val="auto"/>
          <w:sz w:val="36"/>
          <w:szCs w:val="36"/>
          <w:lang w:bidi="ar"/>
        </w:rPr>
      </w:pPr>
      <w:bookmarkStart w:id="32" w:name="_Toc70450318"/>
      <w:r>
        <w:rPr>
          <w:rFonts w:hint="eastAsia" w:ascii="仿宋" w:hAnsi="仿宋" w:eastAsia="仿宋"/>
          <w:color w:val="auto"/>
          <w:sz w:val="36"/>
          <w:szCs w:val="36"/>
          <w:lang w:bidi="ar"/>
        </w:rPr>
        <w:t>七、改进措施和建议</w:t>
      </w:r>
      <w:bookmarkEnd w:id="32"/>
    </w:p>
    <w:p>
      <w:pPr>
        <w:spacing w:line="360" w:lineRule="auto"/>
        <w:rPr>
          <w:color w:val="auto"/>
          <w:lang w:bidi="ar"/>
        </w:rPr>
      </w:pPr>
    </w:p>
    <w:p>
      <w:pPr>
        <w:pStyle w:val="4"/>
        <w:spacing w:line="360" w:lineRule="auto"/>
        <w:rPr>
          <w:rStyle w:val="16"/>
          <w:rFonts w:ascii="仿宋" w:hAnsi="仿宋" w:eastAsia="仿宋"/>
          <w:b/>
          <w:bCs/>
          <w:color w:val="auto"/>
        </w:rPr>
      </w:pPr>
      <w:bookmarkStart w:id="33" w:name="_Toc70450319"/>
      <w:r>
        <w:rPr>
          <w:rStyle w:val="16"/>
          <w:rFonts w:hint="eastAsia" w:ascii="仿宋" w:hAnsi="仿宋" w:eastAsia="仿宋"/>
          <w:b/>
          <w:bCs/>
          <w:color w:val="auto"/>
        </w:rPr>
        <w:t>（一）改进措施</w:t>
      </w:r>
      <w:bookmarkEnd w:id="33"/>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(一)加强新行政单位会计制度和新预算法学习培训、规范账务处理，加强新《预算法》、《行政单位会计制度》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(二)完善管理制度,进-步加强资产管理。严格按照《固定资产管理办法》的规定，加强固定资产管理,及时登记、更新台账，加强资产卡片管理,对各类实物资产进行全面盘点,确保账账、账实相符。</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（三）加强学习。进一步明确如何参照考核体系，科学合理设定绩效目标，充分发挥预算绩效管理工作效用。</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（四）财务上，会计核算要更加详细，为本单位各项工作的开展、总结、评估提供有效数据资料支撑,为各项业务工作更好的开展提供帮助。</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（五）从源头上强化对专项资金预算管理。实行专项资金预算管理，结合单位实际, 按轻重缓急统筹安排编制预算,提高预算编制科学性和合理性,优化资金结构。</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（六）按时间进度分解资金使用计划。专项资金的使用，要事前做计划，事中进行控制，事后总结提高。合理安排资金使用,充分体现资金投向的目标和效益。</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color w:val="auto"/>
          <w:spacing w:val="-4"/>
          <w:kern w:val="2"/>
          <w:sz w:val="28"/>
          <w:szCs w:val="28"/>
          <w:lang w:val="en-US" w:eastAsia="zh-CN" w:bidi="ar-SA"/>
        </w:rPr>
      </w:pPr>
      <w:r>
        <w:rPr>
          <w:rStyle w:val="16"/>
          <w:rFonts w:hint="eastAsia" w:ascii="仿宋_GB2312" w:hAnsi="宋体" w:eastAsia="仿宋_GB2312" w:cs="Times New Roman"/>
          <w:b w:val="0"/>
          <w:color w:val="auto"/>
          <w:spacing w:val="-4"/>
          <w:kern w:val="2"/>
          <w:sz w:val="28"/>
          <w:szCs w:val="28"/>
          <w:lang w:val="en-US" w:eastAsia="zh-CN" w:bidi="ar-SA"/>
        </w:rPr>
        <w:t>（七）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spacing w:line="360" w:lineRule="auto"/>
        <w:rPr>
          <w:rFonts w:ascii="仿宋" w:hAnsi="仿宋" w:eastAsia="仿宋"/>
          <w:color w:val="auto"/>
          <w:sz w:val="22"/>
          <w:szCs w:val="28"/>
        </w:rPr>
      </w:pPr>
    </w:p>
    <w:p>
      <w:pPr>
        <w:spacing w:line="360" w:lineRule="auto"/>
        <w:rPr>
          <w:rFonts w:ascii="仿宋" w:hAnsi="仿宋" w:eastAsia="仿宋"/>
          <w:color w:val="auto"/>
          <w:sz w:val="22"/>
          <w:szCs w:val="28"/>
        </w:rPr>
      </w:pPr>
    </w:p>
    <w:p>
      <w:pPr>
        <w:spacing w:line="360" w:lineRule="auto"/>
        <w:rPr>
          <w:rFonts w:ascii="仿宋" w:hAnsi="仿宋" w:eastAsia="仿宋"/>
          <w:color w:val="auto"/>
          <w:sz w:val="22"/>
          <w:szCs w:val="28"/>
        </w:rPr>
      </w:pPr>
    </w:p>
    <w:p>
      <w:pPr>
        <w:spacing w:line="360" w:lineRule="auto"/>
        <w:rPr>
          <w:rFonts w:ascii="仿宋" w:hAnsi="仿宋" w:eastAsia="仿宋"/>
          <w:color w:val="auto"/>
          <w:sz w:val="22"/>
          <w:szCs w:val="28"/>
        </w:rPr>
      </w:pPr>
    </w:p>
    <w:p>
      <w:pPr>
        <w:spacing w:line="360" w:lineRule="auto"/>
        <w:rPr>
          <w:rFonts w:ascii="仿宋" w:hAnsi="仿宋" w:eastAsia="仿宋"/>
          <w:color w:val="auto"/>
          <w:sz w:val="22"/>
          <w:szCs w:val="28"/>
        </w:rPr>
      </w:pPr>
    </w:p>
    <w:p>
      <w:pPr>
        <w:pStyle w:val="3"/>
        <w:spacing w:line="360" w:lineRule="auto"/>
        <w:rPr>
          <w:rStyle w:val="16"/>
          <w:rFonts w:ascii="仿宋" w:hAnsi="仿宋" w:eastAsia="仿宋"/>
          <w:b/>
          <w:bCs/>
          <w:color w:val="auto"/>
          <w:sz w:val="36"/>
          <w:szCs w:val="36"/>
        </w:rPr>
      </w:pPr>
      <w:r>
        <w:rPr>
          <w:rFonts w:hint="eastAsia"/>
          <w:color w:val="auto"/>
          <w:lang w:eastAsia="zh-CN"/>
        </w:rPr>
        <w:tab/>
      </w:r>
      <w:bookmarkStart w:id="34" w:name="_Toc70450321"/>
      <w:r>
        <w:rPr>
          <w:rStyle w:val="16"/>
          <w:rFonts w:hint="eastAsia" w:ascii="仿宋" w:hAnsi="仿宋" w:eastAsia="仿宋"/>
          <w:b/>
          <w:bCs/>
          <w:color w:val="auto"/>
          <w:sz w:val="36"/>
          <w:szCs w:val="36"/>
        </w:rPr>
        <w:t>八、附表</w:t>
      </w:r>
      <w:r>
        <w:rPr>
          <w:rStyle w:val="16"/>
          <w:rFonts w:hint="eastAsia" w:ascii="仿宋" w:hAnsi="仿宋" w:eastAsia="仿宋"/>
          <w:b w:val="0"/>
          <w:bCs w:val="0"/>
          <w:color w:val="auto"/>
          <w:spacing w:val="-4"/>
          <w:sz w:val="36"/>
          <w:szCs w:val="36"/>
        </w:rPr>
        <w:t>：</w:t>
      </w:r>
      <w:bookmarkStart w:id="35" w:name="_Hlk70450148"/>
      <w:r>
        <w:rPr>
          <w:rStyle w:val="16"/>
          <w:rFonts w:hint="eastAsia" w:ascii="仿宋" w:hAnsi="仿宋" w:eastAsia="仿宋"/>
          <w:b/>
          <w:bCs/>
          <w:color w:val="auto"/>
          <w:sz w:val="36"/>
          <w:szCs w:val="36"/>
        </w:rPr>
        <w:t>《部门整体支出绩效目标自评表》</w:t>
      </w:r>
      <w:bookmarkEnd w:id="34"/>
      <w:bookmarkEnd w:id="35"/>
    </w:p>
    <w:p>
      <w:pPr>
        <w:tabs>
          <w:tab w:val="left" w:pos="898"/>
        </w:tabs>
        <w:spacing w:line="360" w:lineRule="auto"/>
        <w:rPr>
          <w:rFonts w:hint="eastAsia" w:eastAsiaTheme="minorEastAsia"/>
          <w:color w:val="auto"/>
          <w:lang w:eastAsia="zh-CN"/>
        </w:rPr>
      </w:pPr>
    </w:p>
    <w:p>
      <w:pPr>
        <w:spacing w:line="360" w:lineRule="auto"/>
        <w:rPr>
          <w:color w:val="auto"/>
        </w:rPr>
      </w:pPr>
    </w:p>
    <w:p>
      <w:pPr>
        <w:spacing w:line="360" w:lineRule="auto"/>
        <w:rPr>
          <w:color w:val="auto"/>
        </w:rPr>
      </w:pPr>
    </w:p>
    <w:p>
      <w:pPr>
        <w:spacing w:line="360" w:lineRule="auto"/>
        <w:rPr>
          <w:color w:val="auto"/>
        </w:rPr>
      </w:pPr>
    </w:p>
    <w:tbl>
      <w:tblPr>
        <w:tblStyle w:val="14"/>
        <w:tblW w:w="8213" w:type="dxa"/>
        <w:tblInd w:w="93" w:type="dxa"/>
        <w:tblLayout w:type="fixed"/>
        <w:tblCellMar>
          <w:top w:w="0" w:type="dxa"/>
          <w:left w:w="108" w:type="dxa"/>
          <w:bottom w:w="0" w:type="dxa"/>
          <w:right w:w="108" w:type="dxa"/>
        </w:tblCellMar>
      </w:tblPr>
      <w:tblGrid>
        <w:gridCol w:w="732"/>
        <w:gridCol w:w="1114"/>
        <w:gridCol w:w="1661"/>
        <w:gridCol w:w="784"/>
        <w:gridCol w:w="784"/>
        <w:gridCol w:w="785"/>
        <w:gridCol w:w="784"/>
        <w:gridCol w:w="392"/>
        <w:gridCol w:w="392"/>
        <w:gridCol w:w="785"/>
      </w:tblGrid>
      <w:tr>
        <w:tblPrEx>
          <w:tblCellMar>
            <w:top w:w="0" w:type="dxa"/>
            <w:left w:w="108" w:type="dxa"/>
            <w:bottom w:w="0" w:type="dxa"/>
            <w:right w:w="108" w:type="dxa"/>
          </w:tblCellMar>
        </w:tblPrEx>
        <w:trPr>
          <w:trHeight w:val="405" w:hRule="atLeast"/>
        </w:trPr>
        <w:tc>
          <w:tcPr>
            <w:tcW w:w="8213"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_GBK" w:hAnsi="宋体" w:eastAsia="方正小标宋_GBK" w:cs="宋体"/>
                <w:color w:val="auto"/>
                <w:kern w:val="0"/>
                <w:sz w:val="36"/>
                <w:szCs w:val="36"/>
              </w:rPr>
            </w:pPr>
            <w:r>
              <w:rPr>
                <w:rFonts w:hint="eastAsia" w:ascii="宋体" w:hAnsi="宋体" w:eastAsia="宋体" w:cs="宋体"/>
                <w:b/>
                <w:bCs/>
                <w:i w:val="0"/>
                <w:iCs w:val="0"/>
                <w:color w:val="000000"/>
                <w:kern w:val="0"/>
                <w:sz w:val="24"/>
                <w:szCs w:val="24"/>
                <w:u w:val="none"/>
                <w:lang w:val="en-US" w:eastAsia="zh-CN" w:bidi="ar"/>
              </w:rPr>
              <w:t>部门整体支出绩效目标自评表</w:t>
            </w:r>
          </w:p>
        </w:tc>
      </w:tr>
      <w:tr>
        <w:tblPrEx>
          <w:tblCellMar>
            <w:top w:w="0" w:type="dxa"/>
            <w:left w:w="108" w:type="dxa"/>
            <w:bottom w:w="0" w:type="dxa"/>
            <w:right w:w="108" w:type="dxa"/>
          </w:tblCellMar>
        </w:tblPrEx>
        <w:trPr>
          <w:trHeight w:val="285" w:hRule="atLeast"/>
        </w:trPr>
        <w:tc>
          <w:tcPr>
            <w:tcW w:w="8213"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1"/>
                <w:szCs w:val="21"/>
              </w:rPr>
            </w:pPr>
            <w:r>
              <w:rPr>
                <w:rFonts w:hint="eastAsia" w:ascii="宋体" w:hAnsi="宋体" w:eastAsia="宋体" w:cs="宋体"/>
                <w:b/>
                <w:bCs/>
                <w:i w:val="0"/>
                <w:iCs w:val="0"/>
                <w:color w:val="000000"/>
                <w:kern w:val="0"/>
                <w:sz w:val="24"/>
                <w:szCs w:val="24"/>
                <w:u w:val="none"/>
                <w:lang w:val="en-US" w:eastAsia="zh-CN" w:bidi="ar"/>
              </w:rPr>
              <w:t>(2021年)</w:t>
            </w:r>
          </w:p>
        </w:tc>
      </w:tr>
      <w:tr>
        <w:tblPrEx>
          <w:tblCellMar>
            <w:top w:w="0" w:type="dxa"/>
            <w:left w:w="108" w:type="dxa"/>
            <w:bottom w:w="0" w:type="dxa"/>
            <w:right w:w="108" w:type="dxa"/>
          </w:tblCellMar>
        </w:tblPrEx>
        <w:trPr>
          <w:trHeight w:val="285" w:hRule="atLeast"/>
        </w:trPr>
        <w:tc>
          <w:tcPr>
            <w:tcW w:w="1846" w:type="dxa"/>
            <w:gridSpan w:val="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auto"/>
                <w:kern w:val="0"/>
                <w:sz w:val="21"/>
                <w:szCs w:val="21"/>
              </w:rPr>
            </w:pPr>
            <w:r>
              <w:rPr>
                <w:rFonts w:hint="eastAsia" w:ascii="宋体" w:hAnsi="宋体" w:eastAsia="宋体" w:cs="宋体"/>
                <w:b/>
                <w:bCs/>
                <w:i w:val="0"/>
                <w:iCs w:val="0"/>
                <w:color w:val="000000"/>
                <w:kern w:val="0"/>
                <w:sz w:val="24"/>
                <w:szCs w:val="24"/>
                <w:u w:val="none"/>
                <w:lang w:val="en-US" w:eastAsia="zh-CN" w:bidi="ar"/>
              </w:rPr>
              <w:t>部门（单位）名称</w:t>
            </w:r>
          </w:p>
        </w:tc>
        <w:tc>
          <w:tcPr>
            <w:tcW w:w="6367" w:type="dxa"/>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auto"/>
                <w:kern w:val="0"/>
                <w:sz w:val="20"/>
                <w:szCs w:val="20"/>
              </w:rPr>
            </w:pPr>
            <w:r>
              <w:rPr>
                <w:rFonts w:hint="eastAsia" w:ascii="宋体" w:hAnsi="宋体" w:eastAsia="宋体" w:cs="宋体"/>
                <w:i w:val="0"/>
                <w:iCs w:val="0"/>
                <w:color w:val="000000"/>
                <w:kern w:val="0"/>
                <w:sz w:val="24"/>
                <w:szCs w:val="24"/>
                <w:u w:val="none"/>
                <w:lang w:val="en-US" w:eastAsia="zh-CN" w:bidi="ar"/>
              </w:rPr>
              <w:t>特克斯县齐勒乌泽克镇卫生院</w:t>
            </w:r>
          </w:p>
        </w:tc>
      </w:tr>
      <w:tr>
        <w:tblPrEx>
          <w:tblCellMar>
            <w:top w:w="0" w:type="dxa"/>
            <w:left w:w="108" w:type="dxa"/>
            <w:bottom w:w="0" w:type="dxa"/>
            <w:right w:w="108" w:type="dxa"/>
          </w:tblCellMar>
        </w:tblPrEx>
        <w:trPr>
          <w:trHeight w:val="285" w:hRule="atLeast"/>
        </w:trPr>
        <w:tc>
          <w:tcPr>
            <w:tcW w:w="732"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年度主要任务</w:t>
            </w:r>
          </w:p>
        </w:tc>
        <w:tc>
          <w:tcPr>
            <w:tcW w:w="1114"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任务名称</w:t>
            </w:r>
          </w:p>
        </w:tc>
        <w:tc>
          <w:tcPr>
            <w:tcW w:w="1661"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sz w:val="18"/>
                <w:szCs w:val="21"/>
              </w:rPr>
            </w:pPr>
            <w:r>
              <w:rPr>
                <w:rFonts w:hint="eastAsia" w:ascii="宋体" w:hAnsi="宋体" w:eastAsia="宋体" w:cs="宋体"/>
                <w:b/>
                <w:bCs/>
                <w:i w:val="0"/>
                <w:iCs w:val="0"/>
                <w:color w:val="000000"/>
                <w:kern w:val="0"/>
                <w:sz w:val="24"/>
                <w:szCs w:val="24"/>
                <w:u w:val="none"/>
                <w:lang w:val="en-US" w:eastAsia="zh-CN" w:bidi="ar"/>
              </w:rPr>
              <w:t>主要内容</w:t>
            </w:r>
          </w:p>
        </w:tc>
        <w:tc>
          <w:tcPr>
            <w:tcW w:w="2353"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sz w:val="18"/>
                <w:szCs w:val="21"/>
              </w:rPr>
            </w:pPr>
            <w:r>
              <w:rPr>
                <w:rFonts w:hint="eastAsia" w:ascii="宋体" w:hAnsi="宋体" w:eastAsia="宋体" w:cs="宋体"/>
                <w:b/>
                <w:bCs/>
                <w:i w:val="0"/>
                <w:iCs w:val="0"/>
                <w:color w:val="000000"/>
                <w:kern w:val="0"/>
                <w:sz w:val="24"/>
                <w:szCs w:val="24"/>
                <w:u w:val="none"/>
                <w:lang w:val="en-US" w:eastAsia="zh-CN" w:bidi="ar"/>
              </w:rPr>
              <w:t>预算金额（万元）</w:t>
            </w:r>
          </w:p>
        </w:tc>
        <w:tc>
          <w:tcPr>
            <w:tcW w:w="2353"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sz w:val="18"/>
                <w:szCs w:val="21"/>
              </w:rPr>
            </w:pPr>
            <w:r>
              <w:rPr>
                <w:rFonts w:hint="eastAsia" w:ascii="宋体" w:hAnsi="宋体" w:eastAsia="宋体" w:cs="宋体"/>
                <w:b/>
                <w:bCs/>
                <w:i w:val="0"/>
                <w:iCs w:val="0"/>
                <w:color w:val="000000"/>
                <w:kern w:val="0"/>
                <w:sz w:val="24"/>
                <w:szCs w:val="24"/>
                <w:u w:val="none"/>
                <w:lang w:val="en-US" w:eastAsia="zh-CN" w:bidi="ar"/>
              </w:rPr>
              <w:t>实际执行（万元）</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color w:val="auto"/>
                <w:kern w:val="0"/>
                <w:sz w:val="15"/>
                <w:szCs w:val="15"/>
              </w:rPr>
            </w:pPr>
          </w:p>
        </w:tc>
        <w:tc>
          <w:tcPr>
            <w:tcW w:w="1114"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auto"/>
                <w:kern w:val="0"/>
                <w:sz w:val="15"/>
                <w:szCs w:val="15"/>
              </w:rPr>
            </w:pPr>
          </w:p>
        </w:tc>
        <w:tc>
          <w:tcPr>
            <w:tcW w:w="1661"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color w:val="auto"/>
                <w:kern w:val="0"/>
                <w:sz w:val="15"/>
                <w:szCs w:val="15"/>
              </w:rPr>
            </w:pPr>
          </w:p>
        </w:tc>
        <w:tc>
          <w:tcPr>
            <w:tcW w:w="7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总额</w:t>
            </w:r>
          </w:p>
        </w:tc>
        <w:tc>
          <w:tcPr>
            <w:tcW w:w="78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财政拨款</w:t>
            </w:r>
          </w:p>
        </w:tc>
        <w:tc>
          <w:tcPr>
            <w:tcW w:w="78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b/>
                <w:bCs/>
                <w:i w:val="0"/>
                <w:iCs w:val="0"/>
                <w:color w:val="000000"/>
                <w:kern w:val="0"/>
                <w:sz w:val="24"/>
                <w:szCs w:val="24"/>
                <w:u w:val="none"/>
                <w:lang w:val="en-US" w:eastAsia="zh-CN" w:bidi="ar"/>
              </w:rPr>
              <w:t>其他资金</w:t>
            </w:r>
          </w:p>
        </w:tc>
        <w:tc>
          <w:tcPr>
            <w:tcW w:w="78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b/>
                <w:bCs/>
                <w:i w:val="0"/>
                <w:iCs w:val="0"/>
                <w:color w:val="000000"/>
                <w:kern w:val="0"/>
                <w:sz w:val="24"/>
                <w:szCs w:val="24"/>
                <w:u w:val="none"/>
                <w:lang w:val="en-US" w:eastAsia="zh-CN" w:bidi="ar"/>
              </w:rPr>
              <w:t>总额</w:t>
            </w:r>
          </w:p>
        </w:tc>
        <w:tc>
          <w:tcPr>
            <w:tcW w:w="784" w:type="dxa"/>
            <w:gridSpan w:val="2"/>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b/>
                <w:bCs/>
                <w:i w:val="0"/>
                <w:iCs w:val="0"/>
                <w:color w:val="000000"/>
                <w:kern w:val="0"/>
                <w:sz w:val="24"/>
                <w:szCs w:val="24"/>
                <w:u w:val="none"/>
                <w:lang w:val="en-US" w:eastAsia="zh-CN" w:bidi="ar"/>
              </w:rPr>
              <w:t>财政拨款</w:t>
            </w:r>
          </w:p>
        </w:tc>
        <w:tc>
          <w:tcPr>
            <w:tcW w:w="78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b/>
                <w:bCs/>
                <w:i w:val="0"/>
                <w:iCs w:val="0"/>
                <w:color w:val="000000"/>
                <w:kern w:val="0"/>
                <w:sz w:val="24"/>
                <w:szCs w:val="24"/>
                <w:u w:val="none"/>
                <w:lang w:val="en-US" w:eastAsia="zh-CN" w:bidi="ar"/>
              </w:rPr>
              <w:t>其他资金</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1114"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人员保障</w:t>
            </w:r>
          </w:p>
        </w:tc>
        <w:tc>
          <w:tcPr>
            <w:tcW w:w="166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用于保障部门单位人员发放工资福利支出及对个人和家庭补助</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 xml:space="preserve">282.48 </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 xml:space="preserve">282.48 </w:t>
            </w:r>
          </w:p>
        </w:tc>
        <w:tc>
          <w:tcPr>
            <w:tcW w:w="7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 xml:space="preserve">0.00 </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 xml:space="preserve">282.48 </w:t>
            </w:r>
          </w:p>
        </w:tc>
        <w:tc>
          <w:tcPr>
            <w:tcW w:w="78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 xml:space="preserve">282.48 </w:t>
            </w:r>
          </w:p>
        </w:tc>
        <w:tc>
          <w:tcPr>
            <w:tcW w:w="7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sz w:val="18"/>
                <w:szCs w:val="21"/>
              </w:rPr>
            </w:pPr>
            <w:r>
              <w:rPr>
                <w:rFonts w:hint="eastAsia" w:ascii="宋体" w:hAnsi="宋体" w:eastAsia="宋体" w:cs="宋体"/>
                <w:b/>
                <w:bCs/>
                <w:i w:val="0"/>
                <w:iCs w:val="0"/>
                <w:color w:val="000000"/>
                <w:kern w:val="0"/>
                <w:sz w:val="24"/>
                <w:szCs w:val="24"/>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2775"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金额合计</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 xml:space="preserve">282.48 </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 xml:space="preserve">282.48 </w:t>
            </w:r>
          </w:p>
        </w:tc>
        <w:tc>
          <w:tcPr>
            <w:tcW w:w="7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0"/>
                <w:sz w:val="15"/>
                <w:szCs w:val="15"/>
                <w:lang w:val="en-US" w:eastAsia="zh-CN"/>
              </w:rPr>
            </w:pPr>
            <w:r>
              <w:rPr>
                <w:rFonts w:hint="eastAsia" w:ascii="宋体" w:hAnsi="宋体" w:eastAsia="宋体" w:cs="宋体"/>
                <w:i w:val="0"/>
                <w:iCs w:val="0"/>
                <w:color w:val="000000"/>
                <w:kern w:val="0"/>
                <w:sz w:val="24"/>
                <w:szCs w:val="24"/>
                <w:u w:val="none"/>
                <w:lang w:val="en-US" w:eastAsia="zh-CN" w:bidi="ar"/>
              </w:rPr>
              <w:t xml:space="preserve">0.00 </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0"/>
                <w:sz w:val="15"/>
                <w:szCs w:val="15"/>
                <w:lang w:val="en-US" w:eastAsia="zh-CN"/>
              </w:rPr>
            </w:pPr>
            <w:r>
              <w:rPr>
                <w:rFonts w:hint="eastAsia" w:ascii="宋体" w:hAnsi="宋体" w:eastAsia="宋体" w:cs="宋体"/>
                <w:i w:val="0"/>
                <w:iCs w:val="0"/>
                <w:color w:val="000000"/>
                <w:kern w:val="0"/>
                <w:sz w:val="24"/>
                <w:szCs w:val="24"/>
                <w:u w:val="none"/>
                <w:lang w:val="en-US" w:eastAsia="zh-CN" w:bidi="ar"/>
              </w:rPr>
              <w:t xml:space="preserve">282.48 </w:t>
            </w:r>
          </w:p>
        </w:tc>
        <w:tc>
          <w:tcPr>
            <w:tcW w:w="78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 xml:space="preserve">282.48 </w:t>
            </w:r>
          </w:p>
        </w:tc>
        <w:tc>
          <w:tcPr>
            <w:tcW w:w="7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sz w:val="18"/>
                <w:szCs w:val="21"/>
              </w:rPr>
            </w:pPr>
            <w:r>
              <w:rPr>
                <w:rFonts w:hint="eastAsia" w:ascii="宋体" w:hAnsi="宋体" w:eastAsia="宋体" w:cs="宋体"/>
                <w:b/>
                <w:bCs/>
                <w:i w:val="0"/>
                <w:iCs w:val="0"/>
                <w:color w:val="000000"/>
                <w:kern w:val="0"/>
                <w:sz w:val="24"/>
                <w:szCs w:val="24"/>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732"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年度总体目标</w:t>
            </w:r>
          </w:p>
        </w:tc>
        <w:tc>
          <w:tcPr>
            <w:tcW w:w="355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预期目标</w:t>
            </w:r>
          </w:p>
        </w:tc>
        <w:tc>
          <w:tcPr>
            <w:tcW w:w="3922" w:type="dxa"/>
            <w:gridSpan w:val="6"/>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实际完成目标</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color w:val="auto"/>
                <w:kern w:val="0"/>
                <w:sz w:val="15"/>
                <w:szCs w:val="15"/>
              </w:rPr>
            </w:pPr>
          </w:p>
        </w:tc>
        <w:tc>
          <w:tcPr>
            <w:tcW w:w="355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 xml:space="preserve"> 1.特克斯县齐勒乌泽克镇卫生院为人民健康医疗与预防保健服务，常见病多发病的治疗和护理；预防保健。2.保持医疗业务稳定增长.3.提高医疗服务质量。完善医疗管理各项制度，规范医疗行为，确保医疗安全，提高医疗质量，让患者满意。</w:t>
            </w:r>
          </w:p>
        </w:tc>
        <w:tc>
          <w:tcPr>
            <w:tcW w:w="3922" w:type="dxa"/>
            <w:gridSpan w:val="6"/>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 xml:space="preserve"> 1.特克斯县齐勒乌泽克镇卫生院为人民健康医疗与预防保健服务，常见病多发病的治疗和护理；预防保健。2.保持医疗业务稳定增长.3.提高医疗服务质量。完善医疗管理各项制度，规范医疗行为，确保医疗安全，提高医疗质量，让患者满意。</w:t>
            </w:r>
          </w:p>
        </w:tc>
      </w:tr>
      <w:tr>
        <w:tblPrEx>
          <w:tblCellMar>
            <w:top w:w="0" w:type="dxa"/>
            <w:left w:w="108" w:type="dxa"/>
            <w:bottom w:w="0" w:type="dxa"/>
            <w:right w:w="108" w:type="dxa"/>
          </w:tblCellMar>
        </w:tblPrEx>
        <w:trPr>
          <w:trHeight w:val="2070" w:hRule="atLeast"/>
        </w:trPr>
        <w:tc>
          <w:tcPr>
            <w:tcW w:w="732"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11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lang w:val="en-US" w:eastAsia="zh-CN"/>
              </w:rPr>
            </w:pPr>
            <w:r>
              <w:rPr>
                <w:rFonts w:hint="eastAsia" w:ascii="宋体" w:hAnsi="宋体" w:eastAsia="宋体" w:cs="宋体"/>
                <w:b/>
                <w:bCs/>
                <w:i w:val="0"/>
                <w:iCs w:val="0"/>
                <w:color w:val="000000"/>
                <w:kern w:val="0"/>
                <w:sz w:val="24"/>
                <w:szCs w:val="24"/>
                <w:u w:val="none"/>
                <w:lang w:val="en-US" w:eastAsia="zh-CN" w:bidi="ar"/>
              </w:rPr>
              <w:t>一级指标</w:t>
            </w:r>
          </w:p>
        </w:tc>
        <w:tc>
          <w:tcPr>
            <w:tcW w:w="1661"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b/>
                <w:bCs/>
                <w:i w:val="0"/>
                <w:iCs w:val="0"/>
                <w:color w:val="000000"/>
                <w:kern w:val="0"/>
                <w:sz w:val="24"/>
                <w:szCs w:val="24"/>
                <w:u w:val="none"/>
                <w:lang w:val="en-US" w:eastAsia="zh-CN" w:bidi="ar"/>
              </w:rPr>
              <w:t>二级指标</w:t>
            </w:r>
          </w:p>
        </w:tc>
        <w:tc>
          <w:tcPr>
            <w:tcW w:w="2353"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sz w:val="18"/>
                <w:szCs w:val="21"/>
              </w:rPr>
            </w:pPr>
            <w:r>
              <w:rPr>
                <w:rFonts w:hint="eastAsia" w:ascii="宋体" w:hAnsi="宋体" w:eastAsia="宋体" w:cs="宋体"/>
                <w:b/>
                <w:bCs/>
                <w:i w:val="0"/>
                <w:iCs w:val="0"/>
                <w:color w:val="000000"/>
                <w:kern w:val="0"/>
                <w:sz w:val="24"/>
                <w:szCs w:val="24"/>
                <w:u w:val="none"/>
                <w:lang w:val="en-US" w:eastAsia="zh-CN" w:bidi="ar"/>
              </w:rPr>
              <w:t>三级指标</w:t>
            </w:r>
          </w:p>
        </w:tc>
        <w:tc>
          <w:tcPr>
            <w:tcW w:w="1176"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sz w:val="18"/>
                <w:szCs w:val="21"/>
              </w:rPr>
            </w:pPr>
            <w:r>
              <w:rPr>
                <w:rFonts w:hint="eastAsia" w:ascii="宋体" w:hAnsi="宋体" w:eastAsia="宋体" w:cs="宋体"/>
                <w:b/>
                <w:bCs/>
                <w:i w:val="0"/>
                <w:iCs w:val="0"/>
                <w:color w:val="000000"/>
                <w:kern w:val="0"/>
                <w:sz w:val="24"/>
                <w:szCs w:val="24"/>
                <w:u w:val="none"/>
                <w:lang w:val="en-US" w:eastAsia="zh-CN" w:bidi="ar"/>
              </w:rPr>
              <w:t>预期指标值（包含数字及文字描述）</w:t>
            </w:r>
          </w:p>
        </w:tc>
        <w:tc>
          <w:tcPr>
            <w:tcW w:w="1177"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sz w:val="18"/>
                <w:szCs w:val="21"/>
              </w:rPr>
            </w:pPr>
            <w:r>
              <w:rPr>
                <w:rFonts w:hint="eastAsia" w:ascii="宋体" w:hAnsi="宋体" w:eastAsia="宋体" w:cs="宋体"/>
                <w:b/>
                <w:bCs/>
                <w:i w:val="0"/>
                <w:iCs w:val="0"/>
                <w:color w:val="000000"/>
                <w:kern w:val="0"/>
                <w:sz w:val="24"/>
                <w:szCs w:val="24"/>
                <w:u w:val="none"/>
                <w:lang w:val="en-US" w:eastAsia="zh-CN" w:bidi="ar"/>
              </w:rPr>
              <w:t>实际完成指标值（包含数字及文字描述）</w:t>
            </w:r>
          </w:p>
        </w:tc>
      </w:tr>
      <w:tr>
        <w:tblPrEx>
          <w:tblCellMar>
            <w:top w:w="0" w:type="dxa"/>
            <w:left w:w="108" w:type="dxa"/>
            <w:bottom w:w="0" w:type="dxa"/>
            <w:right w:w="108" w:type="dxa"/>
          </w:tblCellMar>
        </w:tblPrEx>
        <w:trPr>
          <w:trHeight w:val="885" w:hRule="atLeast"/>
        </w:trPr>
        <w:tc>
          <w:tcPr>
            <w:tcW w:w="732"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kern w:val="0"/>
                <w:sz w:val="21"/>
                <w:szCs w:val="16"/>
              </w:rPr>
            </w:pPr>
          </w:p>
        </w:tc>
        <w:tc>
          <w:tcPr>
            <w:tcW w:w="1114" w:type="dxa"/>
            <w:vMerge w:val="restar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产出指标</w:t>
            </w:r>
          </w:p>
        </w:tc>
        <w:tc>
          <w:tcPr>
            <w:tcW w:w="1661" w:type="dxa"/>
            <w:vMerge w:val="restart"/>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数量指标</w:t>
            </w:r>
          </w:p>
        </w:tc>
        <w:tc>
          <w:tcPr>
            <w:tcW w:w="2353"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齐勒乌泽克镇卫生院保障在职人数</w:t>
            </w:r>
          </w:p>
        </w:tc>
        <w:tc>
          <w:tcPr>
            <w:tcW w:w="1176"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=27人</w:t>
            </w:r>
          </w:p>
        </w:tc>
        <w:tc>
          <w:tcPr>
            <w:tcW w:w="1177"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27人</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1"/>
                <w:szCs w:val="16"/>
              </w:rPr>
            </w:pPr>
          </w:p>
        </w:tc>
        <w:tc>
          <w:tcPr>
            <w:tcW w:w="111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color w:val="auto"/>
                <w:kern w:val="0"/>
                <w:sz w:val="15"/>
                <w:szCs w:val="15"/>
              </w:rPr>
            </w:pPr>
          </w:p>
        </w:tc>
        <w:tc>
          <w:tcPr>
            <w:tcW w:w="1661"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auto"/>
                <w:kern w:val="0"/>
                <w:sz w:val="15"/>
                <w:szCs w:val="15"/>
              </w:rPr>
            </w:pP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齐勒乌泽克镇卫生院退休人数</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=7人</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7人</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1"/>
                <w:szCs w:val="16"/>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1661" w:type="dxa"/>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质量指标</w:t>
            </w: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全系统人员工资及社保正常发放率</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=90%</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90%</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1"/>
                <w:szCs w:val="16"/>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1661"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auto"/>
                <w:kern w:val="0"/>
                <w:sz w:val="15"/>
                <w:szCs w:val="15"/>
              </w:rPr>
            </w:pP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慰问退休干部覆盖率</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=100%</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100%</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1"/>
                <w:szCs w:val="16"/>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1661"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时效指标</w:t>
            </w: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工资及补助发放及时性</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=100%</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100%</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1"/>
                <w:szCs w:val="16"/>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1661"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成本指标</w:t>
            </w: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人均工资福利支出</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=10.41万元/人</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0.41万元/人</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1"/>
                <w:szCs w:val="16"/>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1661"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auto"/>
                <w:kern w:val="0"/>
                <w:sz w:val="15"/>
                <w:szCs w:val="15"/>
              </w:rPr>
            </w:pP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退休人员人均福利支出</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=0.19万元/人</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0.19万元/人</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1"/>
                <w:szCs w:val="16"/>
              </w:rPr>
            </w:pPr>
          </w:p>
        </w:tc>
        <w:tc>
          <w:tcPr>
            <w:tcW w:w="1114"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效益指标</w:t>
            </w:r>
          </w:p>
        </w:tc>
        <w:tc>
          <w:tcPr>
            <w:tcW w:w="1661"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社会效益指标</w:t>
            </w: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 xml:space="preserve">   提高全系统日常工作效率和质量</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有效提高</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有效提高</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1"/>
                <w:szCs w:val="16"/>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1661"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生态效益指标</w:t>
            </w: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合理处置医疗废物垃圾</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处置合理</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处置合理</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1"/>
                <w:szCs w:val="16"/>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rPr>
            </w:pPr>
          </w:p>
        </w:tc>
        <w:tc>
          <w:tcPr>
            <w:tcW w:w="1661"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可持续影响指标</w:t>
            </w: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居民健康水平提高</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有效提高</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有效提高</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1"/>
                <w:szCs w:val="16"/>
              </w:rPr>
            </w:pPr>
          </w:p>
        </w:tc>
        <w:tc>
          <w:tcPr>
            <w:tcW w:w="1114"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满意度指标</w:t>
            </w:r>
          </w:p>
        </w:tc>
        <w:tc>
          <w:tcPr>
            <w:tcW w:w="1661"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满意度指标</w:t>
            </w: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患者满意度</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≥90%</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90%</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1"/>
                <w:szCs w:val="16"/>
              </w:rPr>
            </w:pPr>
          </w:p>
        </w:tc>
        <w:tc>
          <w:tcPr>
            <w:tcW w:w="1114" w:type="dxa"/>
            <w:vMerge w:val="continue"/>
            <w:tcBorders>
              <w:top w:val="nil"/>
              <w:left w:val="single" w:color="auto" w:sz="4" w:space="0"/>
              <w:bottom w:val="single" w:color="000000" w:sz="4" w:space="0"/>
              <w:right w:val="single" w:color="auto" w:sz="4" w:space="0"/>
            </w:tcBorders>
            <w:shd w:val="clear" w:color="auto" w:fill="auto"/>
            <w:vAlign w:val="center"/>
          </w:tcPr>
          <w:p>
            <w:pPr>
              <w:jc w:val="center"/>
              <w:rPr>
                <w:rFonts w:hint="eastAsia" w:ascii="宋体" w:hAnsi="宋体" w:eastAsia="宋体" w:cs="宋体"/>
                <w:color w:val="auto"/>
                <w:kern w:val="0"/>
                <w:sz w:val="15"/>
                <w:szCs w:val="15"/>
              </w:rPr>
            </w:pPr>
          </w:p>
        </w:tc>
        <w:tc>
          <w:tcPr>
            <w:tcW w:w="1661"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auto"/>
                <w:kern w:val="0"/>
                <w:sz w:val="15"/>
                <w:szCs w:val="15"/>
              </w:rPr>
            </w:pP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干部职工满意度</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rPr>
            </w:pPr>
            <w:r>
              <w:rPr>
                <w:rFonts w:hint="eastAsia" w:ascii="宋体" w:hAnsi="宋体" w:eastAsia="宋体" w:cs="宋体"/>
                <w:i w:val="0"/>
                <w:iCs w:val="0"/>
                <w:color w:val="000000"/>
                <w:kern w:val="0"/>
                <w:sz w:val="24"/>
                <w:szCs w:val="24"/>
                <w:u w:val="none"/>
                <w:lang w:val="en-US" w:eastAsia="zh-CN" w:bidi="ar"/>
              </w:rPr>
              <w:t>=100%</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100%</w:t>
            </w:r>
          </w:p>
        </w:tc>
      </w:tr>
    </w:tbl>
    <w:p>
      <w:pPr>
        <w:rPr>
          <w:rFonts w:ascii="仿宋" w:hAnsi="仿宋" w:eastAsia="仿宋" w:cs="宋体"/>
          <w:color w:val="auto"/>
          <w:sz w:val="32"/>
          <w:szCs w:val="32"/>
          <w:lang w:bidi="ar"/>
        </w:rPr>
      </w:pPr>
    </w:p>
    <w:p>
      <w:pPr>
        <w:spacing w:line="360" w:lineRule="auto"/>
        <w:rPr>
          <w:color w:val="auto"/>
        </w:rPr>
      </w:pPr>
      <w:bookmarkStart w:id="36" w:name="_GoBack"/>
      <w:bookmarkEnd w:id="36"/>
    </w:p>
    <w:p>
      <w:pPr>
        <w:spacing w:line="360" w:lineRule="auto"/>
        <w:rPr>
          <w:color w:val="auto"/>
        </w:rPr>
      </w:pPr>
    </w:p>
    <w:p>
      <w:pPr>
        <w:rPr>
          <w:color w:val="auto"/>
        </w:rPr>
      </w:pPr>
      <w:r>
        <w:rPr>
          <w:color w:val="auto"/>
        </w:rPr>
        <w:br w:type="page"/>
      </w:r>
    </w:p>
    <w:p>
      <w:pPr>
        <w:rPr>
          <w:rFonts w:ascii="仿宋" w:hAnsi="仿宋" w:eastAsia="仿宋" w:cs="宋体"/>
          <w:color w:val="auto"/>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1F1B0A"/>
    <w:multiLevelType w:val="singleLevel"/>
    <w:tmpl w:val="E41F1B0A"/>
    <w:lvl w:ilvl="0" w:tentative="0">
      <w:start w:val="2"/>
      <w:numFmt w:val="chineseCounting"/>
      <w:suff w:val="nothing"/>
      <w:lvlText w:val="（%1）"/>
      <w:lvlJc w:val="left"/>
      <w:rPr>
        <w:rFonts w:hint="eastAsia"/>
      </w:rPr>
    </w:lvl>
  </w:abstractNum>
  <w:abstractNum w:abstractNumId="1">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ZjMzZTkxMDUzOWUwYzQ4OTViM2UwODBmYmY3N2Q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5D1176"/>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3706E27"/>
    <w:rsid w:val="06882A3A"/>
    <w:rsid w:val="0DF643F5"/>
    <w:rsid w:val="0E9A5E97"/>
    <w:rsid w:val="1EB60E4D"/>
    <w:rsid w:val="328148EF"/>
    <w:rsid w:val="3563670A"/>
    <w:rsid w:val="38D63B79"/>
    <w:rsid w:val="3B5B53F7"/>
    <w:rsid w:val="3E421147"/>
    <w:rsid w:val="43F96E95"/>
    <w:rsid w:val="48D73155"/>
    <w:rsid w:val="4A461527"/>
    <w:rsid w:val="4C716D84"/>
    <w:rsid w:val="4D221C05"/>
    <w:rsid w:val="4F683E7F"/>
    <w:rsid w:val="584C1AD1"/>
    <w:rsid w:val="620B354E"/>
    <w:rsid w:val="644966C1"/>
    <w:rsid w:val="69204C13"/>
    <w:rsid w:val="6AD458C8"/>
    <w:rsid w:val="773F013A"/>
    <w:rsid w:val="78196D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 w:type="paragraph" w:customStyle="1" w:styleId="29">
    <w:name w:val="闻政-正文段落文字"/>
    <w:basedOn w:val="1"/>
    <w:qFormat/>
    <w:uiPriority w:val="3"/>
    <w:pPr>
      <w:spacing w:line="500" w:lineRule="exact"/>
      <w:ind w:firstLine="200"/>
    </w:pPr>
    <w:rPr>
      <w:rFonts w:ascii="Times New Roman" w:hAnsi="Times New Roman" w:cs="Times New Roman"/>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23</Pages>
  <Words>8791</Words>
  <Characters>9379</Characters>
  <Lines>72</Lines>
  <Paragraphs>20</Paragraphs>
  <TotalTime>0</TotalTime>
  <ScaleCrop>false</ScaleCrop>
  <LinksUpToDate>false</LinksUpToDate>
  <CharactersWithSpaces>9473</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123</cp:lastModifiedBy>
  <dcterms:modified xsi:type="dcterms:W3CDTF">2022-05-27T04:58:33Z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7AB6E23AFBA846D280856A4AA3C155F0</vt:lpwstr>
  </property>
</Properties>
</file>